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05A" w:rsidRDefault="000E78B8">
      <w:pPr>
        <w:spacing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宿迁市文化和旅游局</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政府信息公开</w:t>
      </w:r>
    </w:p>
    <w:p w:rsidR="004F005A" w:rsidRDefault="000E78B8">
      <w:pPr>
        <w:spacing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工作年度报告</w:t>
      </w:r>
    </w:p>
    <w:p w:rsidR="004F005A" w:rsidRDefault="004F005A">
      <w:pPr>
        <w:spacing w:line="590" w:lineRule="exact"/>
        <w:jc w:val="center"/>
        <w:rPr>
          <w:rFonts w:ascii="黑体" w:eastAsia="黑体" w:hAnsi="黑体" w:cs="黑体"/>
          <w:sz w:val="32"/>
          <w:szCs w:val="32"/>
        </w:rPr>
      </w:pPr>
    </w:p>
    <w:p w:rsidR="004F005A" w:rsidRDefault="000E78B8">
      <w:pPr>
        <w:spacing w:line="590" w:lineRule="exact"/>
        <w:ind w:firstLineChars="200" w:firstLine="640"/>
        <w:jc w:val="left"/>
        <w:rPr>
          <w:rFonts w:ascii="黑体" w:eastAsia="黑体" w:hAnsi="黑体" w:cs="黑体"/>
          <w:sz w:val="32"/>
          <w:szCs w:val="32"/>
        </w:rPr>
      </w:pPr>
      <w:r>
        <w:rPr>
          <w:rFonts w:ascii="仿宋_GB2312" w:eastAsia="仿宋_GB2312" w:hint="eastAsia"/>
          <w:sz w:val="32"/>
          <w:szCs w:val="32"/>
        </w:rPr>
        <w:t>根据《中华人民共和国政府信息公开条例》（以下简称《条例》）规定，现发布《宿迁市文化广电和旅游局</w:t>
      </w:r>
      <w:r>
        <w:rPr>
          <w:rFonts w:ascii="仿宋_GB2312" w:eastAsia="仿宋_GB2312" w:hint="eastAsia"/>
          <w:sz w:val="32"/>
          <w:szCs w:val="32"/>
        </w:rPr>
        <w:t>2022</w:t>
      </w:r>
      <w:r>
        <w:rPr>
          <w:rFonts w:ascii="仿宋_GB2312" w:eastAsia="仿宋_GB2312" w:hint="eastAsia"/>
          <w:sz w:val="32"/>
          <w:szCs w:val="32"/>
        </w:rPr>
        <w:t>年政府信息公开工作年度报告》。本报告所列数据的统计期限为</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日。本报告的电子版可在宿迁市文化广电和旅游局官网（</w:t>
      </w:r>
      <w:r>
        <w:rPr>
          <w:rFonts w:ascii="仿宋_GB2312" w:eastAsia="仿宋_GB2312" w:hint="eastAsia"/>
          <w:sz w:val="32"/>
          <w:szCs w:val="32"/>
        </w:rPr>
        <w:t>http://wgl.suqian.gov.cn/</w:t>
      </w:r>
      <w:r>
        <w:rPr>
          <w:rFonts w:ascii="仿宋_GB2312" w:eastAsia="仿宋_GB2312" w:hint="eastAsia"/>
          <w:sz w:val="32"/>
          <w:szCs w:val="32"/>
        </w:rPr>
        <w:t>）政府信息公开年报专栏下载。如对本报告有疑问，请与宿迁市文化广电和旅游局办公室联系（地址：江苏省宿迁市宿城区世纪大道</w:t>
      </w:r>
      <w:r>
        <w:rPr>
          <w:rFonts w:ascii="仿宋_GB2312" w:eastAsia="仿宋_GB2312" w:hint="eastAsia"/>
          <w:sz w:val="32"/>
          <w:szCs w:val="32"/>
        </w:rPr>
        <w:t>88</w:t>
      </w:r>
      <w:r>
        <w:rPr>
          <w:rFonts w:ascii="仿宋_GB2312" w:eastAsia="仿宋_GB2312" w:hint="eastAsia"/>
          <w:sz w:val="32"/>
          <w:szCs w:val="32"/>
        </w:rPr>
        <w:t>号，邮编：</w:t>
      </w:r>
      <w:r>
        <w:rPr>
          <w:rFonts w:ascii="仿宋_GB2312" w:eastAsia="仿宋_GB2312" w:hint="eastAsia"/>
          <w:sz w:val="32"/>
          <w:szCs w:val="32"/>
        </w:rPr>
        <w:t>223800</w:t>
      </w:r>
      <w:r>
        <w:rPr>
          <w:rFonts w:ascii="仿宋_GB2312" w:eastAsia="仿宋_GB2312" w:hint="eastAsia"/>
          <w:sz w:val="32"/>
          <w:szCs w:val="32"/>
        </w:rPr>
        <w:t>，电话：</w:t>
      </w:r>
      <w:r>
        <w:rPr>
          <w:rFonts w:ascii="仿宋_GB2312" w:eastAsia="仿宋_GB2312" w:hint="eastAsia"/>
          <w:sz w:val="32"/>
          <w:szCs w:val="32"/>
        </w:rPr>
        <w:t>0527-84349600</w:t>
      </w:r>
      <w:r>
        <w:rPr>
          <w:rFonts w:ascii="仿宋_GB2312" w:eastAsia="仿宋_GB2312" w:hint="eastAsia"/>
          <w:sz w:val="32"/>
          <w:szCs w:val="32"/>
        </w:rPr>
        <w:t>，邮箱：</w:t>
      </w:r>
      <w:r>
        <w:rPr>
          <w:rFonts w:ascii="仿宋_GB2312" w:eastAsia="仿宋_GB2312" w:hint="eastAsia"/>
          <w:sz w:val="32"/>
          <w:szCs w:val="32"/>
        </w:rPr>
        <w:t>sqwhj@126.com</w:t>
      </w:r>
      <w:r>
        <w:rPr>
          <w:rFonts w:ascii="仿宋_GB2312" w:eastAsia="仿宋_GB2312" w:hint="eastAsia"/>
          <w:sz w:val="32"/>
          <w:szCs w:val="32"/>
        </w:rPr>
        <w:t>）。</w:t>
      </w:r>
    </w:p>
    <w:p w:rsidR="004F005A" w:rsidRDefault="000E78B8">
      <w:pPr>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一、总体情况</w:t>
      </w:r>
    </w:p>
    <w:p w:rsidR="004F005A" w:rsidRDefault="000E78B8">
      <w:pPr>
        <w:spacing w:line="590" w:lineRule="exact"/>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年，宿迁市文化广电和旅游局政务公开工作严格执行《中华人民共和国政府信息公开条例》，深入贯彻落实省、市关于推进新时代政务公开的有关部署，始终坚持“公开为常态、不公开为例外</w:t>
      </w:r>
      <w:proofErr w:type="gramStart"/>
      <w:r>
        <w:rPr>
          <w:rFonts w:ascii="仿宋_GB2312" w:eastAsia="仿宋_GB2312" w:hint="eastAsia"/>
          <w:sz w:val="32"/>
          <w:szCs w:val="32"/>
        </w:rPr>
        <w:t>”</w:t>
      </w:r>
      <w:proofErr w:type="gramEnd"/>
      <w:r>
        <w:rPr>
          <w:rFonts w:ascii="仿宋_GB2312" w:eastAsia="仿宋_GB2312" w:hint="eastAsia"/>
          <w:sz w:val="32"/>
          <w:szCs w:val="32"/>
        </w:rPr>
        <w:t>，进一步提升政务公开质量，规范政务公开程序，推进政务公开力度，推动政府信息公开工作再上新台阶。</w:t>
      </w:r>
    </w:p>
    <w:p w:rsidR="004F005A" w:rsidRDefault="000E78B8">
      <w:pPr>
        <w:spacing w:line="590" w:lineRule="exact"/>
        <w:ind w:firstLineChars="200" w:firstLine="422"/>
        <w:rPr>
          <w:rFonts w:ascii="仿宋_GB2312" w:eastAsia="仿宋_GB2312"/>
          <w:sz w:val="32"/>
          <w:szCs w:val="32"/>
        </w:rPr>
      </w:pPr>
      <w:r>
        <w:rPr>
          <w:rFonts w:hint="eastAsia"/>
          <w:b/>
          <w:bCs/>
        </w:rPr>
        <w:t xml:space="preserve"> </w:t>
      </w:r>
      <w:r>
        <w:rPr>
          <w:rFonts w:ascii="仿宋_GB2312" w:eastAsia="仿宋_GB2312" w:hint="eastAsia"/>
          <w:b/>
          <w:bCs/>
          <w:sz w:val="32"/>
          <w:szCs w:val="32"/>
        </w:rPr>
        <w:t>（一）及时做好主动公开内容更新。</w:t>
      </w:r>
      <w:r>
        <w:rPr>
          <w:rFonts w:ascii="仿宋_GB2312" w:eastAsia="仿宋_GB2312" w:hint="eastAsia"/>
          <w:sz w:val="32"/>
          <w:szCs w:val="32"/>
        </w:rPr>
        <w:t>全年在</w:t>
      </w:r>
      <w:proofErr w:type="gramStart"/>
      <w:r>
        <w:rPr>
          <w:rFonts w:ascii="仿宋_GB2312" w:eastAsia="仿宋_GB2312" w:hint="eastAsia"/>
          <w:sz w:val="32"/>
          <w:szCs w:val="32"/>
        </w:rPr>
        <w:t>局官网主动</w:t>
      </w:r>
      <w:proofErr w:type="gramEnd"/>
      <w:r>
        <w:rPr>
          <w:rFonts w:ascii="仿宋_GB2312" w:eastAsia="仿宋_GB2312" w:hint="eastAsia"/>
          <w:sz w:val="32"/>
          <w:szCs w:val="32"/>
        </w:rPr>
        <w:t>公开政府信息</w:t>
      </w:r>
      <w:r>
        <w:rPr>
          <w:rFonts w:ascii="仿宋_GB2312" w:eastAsia="仿宋_GB2312" w:hint="eastAsia"/>
          <w:sz w:val="32"/>
          <w:szCs w:val="32"/>
        </w:rPr>
        <w:t>1</w:t>
      </w:r>
      <w:r w:rsidR="00CE560A">
        <w:rPr>
          <w:rFonts w:ascii="仿宋_GB2312" w:eastAsia="仿宋_GB2312"/>
          <w:sz w:val="32"/>
          <w:szCs w:val="32"/>
        </w:rPr>
        <w:t>0</w:t>
      </w:r>
      <w:r>
        <w:rPr>
          <w:rFonts w:ascii="仿宋_GB2312" w:eastAsia="仿宋_GB2312" w:hint="eastAsia"/>
          <w:sz w:val="32"/>
          <w:szCs w:val="32"/>
        </w:rPr>
        <w:t>23</w:t>
      </w:r>
      <w:r>
        <w:rPr>
          <w:rFonts w:ascii="仿宋_GB2312" w:eastAsia="仿宋_GB2312" w:hint="eastAsia"/>
          <w:sz w:val="32"/>
          <w:szCs w:val="32"/>
        </w:rPr>
        <w:t>条，其中：概况类信息更新量</w:t>
      </w:r>
      <w:r>
        <w:rPr>
          <w:rFonts w:ascii="仿宋_GB2312" w:eastAsia="仿宋_GB2312" w:hint="eastAsia"/>
          <w:sz w:val="32"/>
          <w:szCs w:val="32"/>
        </w:rPr>
        <w:t>9</w:t>
      </w:r>
      <w:r>
        <w:rPr>
          <w:rFonts w:ascii="仿宋_GB2312" w:eastAsia="仿宋_GB2312" w:hint="eastAsia"/>
          <w:sz w:val="32"/>
          <w:szCs w:val="32"/>
        </w:rPr>
        <w:t>条，政务动态信息更新量</w:t>
      </w:r>
      <w:r>
        <w:rPr>
          <w:rFonts w:ascii="仿宋_GB2312" w:eastAsia="仿宋_GB2312" w:hint="eastAsia"/>
          <w:sz w:val="32"/>
          <w:szCs w:val="32"/>
        </w:rPr>
        <w:t>873</w:t>
      </w:r>
      <w:r>
        <w:rPr>
          <w:rFonts w:ascii="仿宋_GB2312" w:eastAsia="仿宋_GB2312" w:hint="eastAsia"/>
          <w:sz w:val="32"/>
          <w:szCs w:val="32"/>
        </w:rPr>
        <w:t>条，信息公开目录信息</w:t>
      </w:r>
      <w:r>
        <w:rPr>
          <w:rFonts w:ascii="仿宋_GB2312" w:eastAsia="仿宋_GB2312" w:hint="eastAsia"/>
          <w:sz w:val="32"/>
          <w:szCs w:val="32"/>
        </w:rPr>
        <w:t>141</w:t>
      </w:r>
      <w:r>
        <w:rPr>
          <w:rFonts w:ascii="仿宋_GB2312" w:eastAsia="仿宋_GB2312" w:hint="eastAsia"/>
          <w:sz w:val="32"/>
          <w:szCs w:val="32"/>
        </w:rPr>
        <w:t>条，新开设专栏专题</w:t>
      </w:r>
      <w:r>
        <w:rPr>
          <w:rFonts w:ascii="仿宋_GB2312" w:eastAsia="仿宋_GB2312" w:hint="eastAsia"/>
          <w:sz w:val="32"/>
          <w:szCs w:val="32"/>
        </w:rPr>
        <w:t>1</w:t>
      </w:r>
      <w:r>
        <w:rPr>
          <w:rFonts w:ascii="仿宋_GB2312" w:eastAsia="仿宋_GB2312" w:hint="eastAsia"/>
          <w:sz w:val="32"/>
          <w:szCs w:val="32"/>
        </w:rPr>
        <w:t>个。答复网友留言</w:t>
      </w:r>
      <w:r>
        <w:rPr>
          <w:rFonts w:ascii="仿宋_GB2312" w:eastAsia="仿宋_GB2312" w:hint="eastAsia"/>
          <w:sz w:val="32"/>
          <w:szCs w:val="32"/>
        </w:rPr>
        <w:t>32</w:t>
      </w:r>
      <w:r>
        <w:rPr>
          <w:rFonts w:ascii="仿宋_GB2312" w:eastAsia="仿宋_GB2312" w:hint="eastAsia"/>
          <w:sz w:val="32"/>
          <w:szCs w:val="32"/>
        </w:rPr>
        <w:t>次，并全部予以公开。一是及时更</w:t>
      </w:r>
      <w:r>
        <w:rPr>
          <w:rFonts w:ascii="仿宋_GB2312" w:eastAsia="仿宋_GB2312" w:hint="eastAsia"/>
          <w:sz w:val="32"/>
          <w:szCs w:val="32"/>
        </w:rPr>
        <w:t>新单位</w:t>
      </w:r>
      <w:r>
        <w:rPr>
          <w:rFonts w:ascii="仿宋_GB2312" w:eastAsia="仿宋_GB2312" w:hint="eastAsia"/>
          <w:sz w:val="32"/>
          <w:szCs w:val="32"/>
        </w:rPr>
        <w:lastRenderedPageBreak/>
        <w:t>基础信息。在局网站公开本单位职责、办公地址、办公时间、联系方式等基础信息，并更新调整政府信息公开指南和专职负责人员。二是及时发布重点工作信息。根据单位职责，公开本单位全责清单，并动态调整。按照要求，公开行政执法、政府采购、财政预决算、旅行社信用承诺等相关内容。三是及时做好政策文件解读。做好各</w:t>
      </w:r>
      <w:proofErr w:type="gramStart"/>
      <w:r>
        <w:rPr>
          <w:rFonts w:ascii="仿宋_GB2312" w:eastAsia="仿宋_GB2312" w:hint="eastAsia"/>
          <w:sz w:val="32"/>
          <w:szCs w:val="32"/>
        </w:rPr>
        <w:t>类政策</w:t>
      </w:r>
      <w:proofErr w:type="gramEnd"/>
      <w:r>
        <w:rPr>
          <w:rFonts w:ascii="仿宋_GB2312" w:eastAsia="仿宋_GB2312" w:hint="eastAsia"/>
          <w:sz w:val="32"/>
          <w:szCs w:val="32"/>
        </w:rPr>
        <w:t>文件和规划计划的主动公开，发布《宿迁市“十四五”文化和旅游发展规划》、《宿迁市“群英奖”评奖试行办法》、《宿迁市广播电视公共服务能力提升三年行动计划》等文件，并在</w:t>
      </w:r>
      <w:proofErr w:type="gramStart"/>
      <w:r>
        <w:rPr>
          <w:rFonts w:ascii="仿宋_GB2312" w:eastAsia="仿宋_GB2312" w:hint="eastAsia"/>
          <w:sz w:val="32"/>
          <w:szCs w:val="32"/>
        </w:rPr>
        <w:t>局官网、双微进行</w:t>
      </w:r>
      <w:proofErr w:type="gramEnd"/>
      <w:r>
        <w:rPr>
          <w:rFonts w:ascii="仿宋_GB2312" w:eastAsia="仿宋_GB2312" w:hint="eastAsia"/>
          <w:sz w:val="32"/>
          <w:szCs w:val="32"/>
        </w:rPr>
        <w:t>全文公开及政策解读。</w:t>
      </w:r>
    </w:p>
    <w:p w:rsidR="004F005A" w:rsidRDefault="000E78B8">
      <w:pPr>
        <w:spacing w:line="590" w:lineRule="exact"/>
        <w:ind w:firstLineChars="200" w:firstLine="643"/>
        <w:rPr>
          <w:rFonts w:ascii="仿宋_GB2312" w:eastAsia="仿宋_GB2312"/>
          <w:sz w:val="32"/>
          <w:szCs w:val="32"/>
        </w:rPr>
      </w:pPr>
      <w:r>
        <w:rPr>
          <w:rFonts w:ascii="仿宋_GB2312" w:eastAsia="仿宋_GB2312"/>
          <w:b/>
          <w:bCs/>
          <w:sz w:val="32"/>
          <w:szCs w:val="32"/>
        </w:rPr>
        <w:t>(</w:t>
      </w:r>
      <w:r>
        <w:rPr>
          <w:rFonts w:ascii="仿宋_GB2312" w:eastAsia="仿宋_GB2312"/>
          <w:b/>
          <w:bCs/>
          <w:sz w:val="32"/>
          <w:szCs w:val="32"/>
        </w:rPr>
        <w:t>二）</w:t>
      </w:r>
      <w:r>
        <w:rPr>
          <w:rFonts w:ascii="仿宋_GB2312" w:eastAsia="仿宋_GB2312" w:hint="eastAsia"/>
          <w:b/>
          <w:bCs/>
          <w:sz w:val="32"/>
          <w:szCs w:val="32"/>
        </w:rPr>
        <w:t>扎</w:t>
      </w:r>
      <w:r>
        <w:rPr>
          <w:rFonts w:ascii="仿宋_GB2312" w:eastAsia="仿宋_GB2312" w:hint="eastAsia"/>
          <w:b/>
          <w:bCs/>
          <w:sz w:val="32"/>
          <w:szCs w:val="32"/>
        </w:rPr>
        <w:t>实做好</w:t>
      </w:r>
      <w:r>
        <w:rPr>
          <w:rFonts w:ascii="仿宋_GB2312" w:eastAsia="仿宋_GB2312"/>
          <w:b/>
          <w:bCs/>
          <w:sz w:val="32"/>
          <w:szCs w:val="32"/>
        </w:rPr>
        <w:t>依申请公开</w:t>
      </w:r>
      <w:r>
        <w:rPr>
          <w:rFonts w:ascii="仿宋_GB2312" w:eastAsia="仿宋_GB2312" w:hint="eastAsia"/>
          <w:b/>
          <w:bCs/>
          <w:sz w:val="32"/>
          <w:szCs w:val="32"/>
        </w:rPr>
        <w:t>办理。</w:t>
      </w:r>
      <w:r>
        <w:rPr>
          <w:rFonts w:ascii="仿宋_GB2312" w:eastAsia="仿宋_GB2312" w:hint="eastAsia"/>
          <w:sz w:val="32"/>
          <w:szCs w:val="32"/>
        </w:rPr>
        <w:t>全年共办理政府信息公开申请案件</w:t>
      </w:r>
      <w:r>
        <w:rPr>
          <w:rFonts w:ascii="仿宋_GB2312" w:eastAsia="仿宋_GB2312" w:hint="eastAsia"/>
          <w:sz w:val="32"/>
          <w:szCs w:val="32"/>
        </w:rPr>
        <w:t>3</w:t>
      </w:r>
      <w:r>
        <w:rPr>
          <w:rFonts w:ascii="仿宋_GB2312" w:eastAsia="仿宋_GB2312" w:hint="eastAsia"/>
          <w:sz w:val="32"/>
          <w:szCs w:val="32"/>
        </w:rPr>
        <w:t>件</w:t>
      </w:r>
      <w:r w:rsidR="00AD6134">
        <w:rPr>
          <w:rFonts w:ascii="仿宋_GB2312" w:eastAsia="仿宋_GB2312" w:hint="eastAsia"/>
          <w:sz w:val="32"/>
          <w:szCs w:val="32"/>
        </w:rPr>
        <w:t>，</w:t>
      </w:r>
      <w:r w:rsidR="00AD6134">
        <w:rPr>
          <w:rFonts w:ascii="仿宋_GB2312" w:eastAsia="仿宋_GB2312" w:hint="eastAsia"/>
          <w:color w:val="FF0000"/>
          <w:sz w:val="32"/>
          <w:szCs w:val="32"/>
        </w:rPr>
        <w:t>均为网络申请案件</w:t>
      </w:r>
      <w:r w:rsidRPr="00AD6134">
        <w:rPr>
          <w:rFonts w:ascii="仿宋_GB2312" w:eastAsia="仿宋_GB2312" w:hint="eastAsia"/>
          <w:color w:val="FF0000"/>
          <w:sz w:val="32"/>
          <w:szCs w:val="32"/>
        </w:rPr>
        <w:t>。</w:t>
      </w:r>
      <w:r w:rsidR="00AD6134">
        <w:rPr>
          <w:rFonts w:ascii="仿宋_GB2312" w:eastAsia="仿宋_GB2312" w:hint="eastAsia"/>
          <w:sz w:val="32"/>
          <w:szCs w:val="32"/>
        </w:rPr>
        <w:t>在办理过程中，</w:t>
      </w:r>
      <w:r>
        <w:rPr>
          <w:rFonts w:ascii="仿宋_GB2312" w:eastAsia="仿宋_GB2312" w:hint="eastAsia"/>
          <w:sz w:val="32"/>
          <w:szCs w:val="32"/>
        </w:rPr>
        <w:t>严格执行依申请公开办理规范流程，根据《宿迁市政府信息依申请公开制度》，做好依申请公开登记、审核、办理、答复、归档等各项工作，建立年度依申请公开专项台账留存，确保办理流程可查询、可追溯。</w:t>
      </w:r>
    </w:p>
    <w:p w:rsidR="004F005A" w:rsidRDefault="000E78B8">
      <w:pPr>
        <w:spacing w:line="590" w:lineRule="exact"/>
        <w:ind w:firstLineChars="200" w:firstLine="643"/>
        <w:rPr>
          <w:rFonts w:ascii="仿宋_GB2312" w:eastAsia="仿宋_GB2312"/>
          <w:sz w:val="32"/>
          <w:szCs w:val="32"/>
        </w:rPr>
      </w:pPr>
      <w:r>
        <w:rPr>
          <w:rFonts w:ascii="仿宋_GB2312" w:eastAsia="仿宋_GB2312" w:hint="eastAsia"/>
          <w:b/>
          <w:bCs/>
          <w:sz w:val="32"/>
          <w:szCs w:val="32"/>
        </w:rPr>
        <w:t>（三）健全完善政府信息管理机制。</w:t>
      </w:r>
      <w:r>
        <w:rPr>
          <w:rFonts w:ascii="仿宋_GB2312" w:eastAsia="仿宋_GB2312" w:hint="eastAsia"/>
          <w:sz w:val="32"/>
          <w:szCs w:val="32"/>
        </w:rPr>
        <w:t>明确了专门处室和</w:t>
      </w:r>
      <w:r>
        <w:rPr>
          <w:rFonts w:ascii="仿宋_GB2312" w:eastAsia="仿宋_GB2312" w:hint="eastAsia"/>
          <w:sz w:val="32"/>
          <w:szCs w:val="32"/>
        </w:rPr>
        <w:t>2</w:t>
      </w:r>
      <w:r>
        <w:rPr>
          <w:rFonts w:ascii="仿宋_GB2312" w:eastAsia="仿宋_GB2312" w:hint="eastAsia"/>
          <w:sz w:val="32"/>
          <w:szCs w:val="32"/>
        </w:rPr>
        <w:t>名人员负责开展此项工作，进一步提升政府信息</w:t>
      </w:r>
      <w:r>
        <w:rPr>
          <w:rFonts w:ascii="仿宋_GB2312" w:eastAsia="仿宋_GB2312" w:hint="eastAsia"/>
          <w:sz w:val="32"/>
          <w:szCs w:val="32"/>
        </w:rPr>
        <w:t>公开工作的规范化建设水平。加强重点领域信息公开，进一步提高政策文件的科学性、规范性。对《关于进一步加强非物质文化遗产保护工作的实施方案（征求意见稿）》、《关于规范和促进我市旅游民宿加快发展的指导意见（征求意见稿）》等</w:t>
      </w:r>
      <w:r>
        <w:rPr>
          <w:rFonts w:ascii="仿宋_GB2312" w:eastAsia="仿宋_GB2312" w:hint="eastAsia"/>
          <w:sz w:val="32"/>
          <w:szCs w:val="32"/>
        </w:rPr>
        <w:t>2</w:t>
      </w:r>
      <w:r>
        <w:rPr>
          <w:rFonts w:ascii="仿宋_GB2312" w:eastAsia="仿宋_GB2312" w:hint="eastAsia"/>
          <w:sz w:val="32"/>
          <w:szCs w:val="32"/>
        </w:rPr>
        <w:t>项群众关注度较高、社会影响较大的意见方案开展交流活动和征求意见，收集到意见建</w:t>
      </w:r>
      <w:r>
        <w:rPr>
          <w:rFonts w:ascii="仿宋_GB2312" w:eastAsia="仿宋_GB2312" w:hint="eastAsia"/>
          <w:sz w:val="32"/>
          <w:szCs w:val="32"/>
        </w:rPr>
        <w:lastRenderedPageBreak/>
        <w:t>议</w:t>
      </w:r>
      <w:r>
        <w:rPr>
          <w:rFonts w:ascii="仿宋_GB2312" w:eastAsia="仿宋_GB2312" w:hint="eastAsia"/>
          <w:sz w:val="32"/>
          <w:szCs w:val="32"/>
        </w:rPr>
        <w:t>4</w:t>
      </w:r>
      <w:r>
        <w:rPr>
          <w:rFonts w:ascii="仿宋_GB2312" w:eastAsia="仿宋_GB2312" w:hint="eastAsia"/>
          <w:sz w:val="32"/>
          <w:szCs w:val="32"/>
        </w:rPr>
        <w:t>条，并予以有效采纳吸收。持续加强市场监管信息公开，按照“谁审批谁公示”的原则，加强市场准入规则及审批流程公开，共在政务服务网上公开政务服务事项</w:t>
      </w:r>
      <w:r>
        <w:rPr>
          <w:rFonts w:ascii="仿宋_GB2312" w:eastAsia="仿宋_GB2312" w:hint="eastAsia"/>
          <w:sz w:val="32"/>
          <w:szCs w:val="32"/>
        </w:rPr>
        <w:t>158</w:t>
      </w:r>
      <w:r>
        <w:rPr>
          <w:rFonts w:ascii="仿宋_GB2312" w:eastAsia="仿宋_GB2312" w:hint="eastAsia"/>
          <w:sz w:val="32"/>
          <w:szCs w:val="32"/>
        </w:rPr>
        <w:t>项，</w:t>
      </w:r>
      <w:r>
        <w:rPr>
          <w:rFonts w:ascii="仿宋_GB2312" w:eastAsia="仿宋_GB2312" w:hint="eastAsia"/>
          <w:sz w:val="32"/>
          <w:szCs w:val="32"/>
        </w:rPr>
        <w:t>实现全程在线办理，全年服务企业法人办件量</w:t>
      </w:r>
      <w:r>
        <w:rPr>
          <w:rFonts w:ascii="仿宋_GB2312" w:eastAsia="仿宋_GB2312" w:hint="eastAsia"/>
          <w:sz w:val="32"/>
          <w:szCs w:val="32"/>
        </w:rPr>
        <w:t>144</w:t>
      </w:r>
      <w:r>
        <w:rPr>
          <w:rFonts w:ascii="仿宋_GB2312" w:eastAsia="仿宋_GB2312" w:hint="eastAsia"/>
          <w:sz w:val="32"/>
          <w:szCs w:val="32"/>
        </w:rPr>
        <w:t>件。按照“谁执</w:t>
      </w:r>
      <w:r>
        <w:rPr>
          <w:rFonts w:ascii="仿宋_GB2312" w:eastAsia="仿宋_GB2312" w:hint="eastAsia"/>
          <w:sz w:val="32"/>
          <w:szCs w:val="32"/>
        </w:rPr>
        <w:t>法谁公示”的原则，严格落实行政执法公示制度，“双随机、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w:t>
      </w:r>
      <w:proofErr w:type="gramStart"/>
      <w:r>
        <w:rPr>
          <w:rFonts w:ascii="仿宋_GB2312" w:eastAsia="仿宋_GB2312" w:hint="eastAsia"/>
          <w:sz w:val="32"/>
          <w:szCs w:val="32"/>
        </w:rPr>
        <w:t>监管全</w:t>
      </w:r>
      <w:proofErr w:type="gramEnd"/>
      <w:r>
        <w:rPr>
          <w:rFonts w:ascii="仿宋_GB2312" w:eastAsia="仿宋_GB2312" w:hint="eastAsia"/>
          <w:sz w:val="32"/>
          <w:szCs w:val="32"/>
        </w:rPr>
        <w:t>覆盖、常态化。</w:t>
      </w:r>
      <w:r>
        <w:rPr>
          <w:rFonts w:ascii="仿宋_GB2312" w:eastAsia="仿宋_GB2312" w:hint="eastAsia"/>
          <w:sz w:val="32"/>
          <w:szCs w:val="32"/>
        </w:rPr>
        <w:t>2022</w:t>
      </w:r>
      <w:r>
        <w:rPr>
          <w:rFonts w:ascii="仿宋_GB2312" w:eastAsia="仿宋_GB2312" w:hint="eastAsia"/>
          <w:sz w:val="32"/>
          <w:szCs w:val="32"/>
        </w:rPr>
        <w:t>年，在信用中国平台公示行政许可信息</w:t>
      </w:r>
      <w:r>
        <w:rPr>
          <w:rFonts w:ascii="仿宋_GB2312" w:eastAsia="仿宋_GB2312" w:hint="eastAsia"/>
          <w:sz w:val="32"/>
          <w:szCs w:val="32"/>
        </w:rPr>
        <w:t>85</w:t>
      </w:r>
      <w:r>
        <w:rPr>
          <w:rFonts w:ascii="仿宋_GB2312" w:eastAsia="仿宋_GB2312" w:hint="eastAsia"/>
          <w:sz w:val="32"/>
          <w:szCs w:val="32"/>
        </w:rPr>
        <w:t>条，行政处罚信息</w:t>
      </w:r>
      <w:r>
        <w:rPr>
          <w:rFonts w:ascii="仿宋_GB2312" w:eastAsia="仿宋_GB2312" w:hint="eastAsia"/>
          <w:sz w:val="32"/>
          <w:szCs w:val="32"/>
        </w:rPr>
        <w:t>48</w:t>
      </w:r>
      <w:r>
        <w:rPr>
          <w:rFonts w:ascii="仿宋_GB2312" w:eastAsia="仿宋_GB2312" w:hint="eastAsia"/>
          <w:sz w:val="32"/>
          <w:szCs w:val="32"/>
        </w:rPr>
        <w:t>条，</w:t>
      </w:r>
      <w:r>
        <w:rPr>
          <w:rFonts w:ascii="仿宋_GB2312" w:eastAsia="仿宋_GB2312" w:hint="eastAsia"/>
          <w:sz w:val="32"/>
          <w:szCs w:val="32"/>
        </w:rPr>
        <w:t>在江苏省市场监管信息平台归集公示“双随机、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公开”检查信息</w:t>
      </w:r>
      <w:r>
        <w:rPr>
          <w:rFonts w:ascii="仿宋_GB2312" w:eastAsia="仿宋_GB2312" w:hint="eastAsia"/>
          <w:sz w:val="32"/>
          <w:szCs w:val="32"/>
        </w:rPr>
        <w:t>146</w:t>
      </w:r>
      <w:r>
        <w:rPr>
          <w:rFonts w:ascii="仿宋_GB2312" w:eastAsia="仿宋_GB2312" w:hint="eastAsia"/>
          <w:sz w:val="32"/>
          <w:szCs w:val="32"/>
        </w:rPr>
        <w:t>条、失信联合惩戒信息</w:t>
      </w:r>
      <w:r>
        <w:rPr>
          <w:rFonts w:ascii="仿宋_GB2312" w:eastAsia="仿宋_GB2312" w:hint="eastAsia"/>
          <w:sz w:val="32"/>
          <w:szCs w:val="32"/>
        </w:rPr>
        <w:t>3</w:t>
      </w:r>
      <w:r>
        <w:rPr>
          <w:rFonts w:ascii="仿宋_GB2312" w:eastAsia="仿宋_GB2312" w:hint="eastAsia"/>
          <w:sz w:val="32"/>
          <w:szCs w:val="32"/>
        </w:rPr>
        <w:t>条。</w:t>
      </w:r>
      <w:r>
        <w:rPr>
          <w:rFonts w:ascii="仿宋_GB2312" w:eastAsia="仿宋_GB2312" w:hint="eastAsia"/>
          <w:sz w:val="32"/>
          <w:szCs w:val="32"/>
        </w:rPr>
        <w:t>及时公开文广旅工作总结及工作打算、年度法治政府建设工作年度报告、政府工作报告明确事项完成情况、为民办实事项目进展、行政执法总体情况报告等内容，接受群众监督。</w:t>
      </w:r>
    </w:p>
    <w:p w:rsidR="004F005A" w:rsidRDefault="000E78B8">
      <w:pPr>
        <w:spacing w:line="59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b/>
          <w:bCs/>
          <w:sz w:val="32"/>
          <w:szCs w:val="32"/>
        </w:rPr>
        <w:t>四）持续做好公开平台建设。</w:t>
      </w:r>
      <w:r>
        <w:rPr>
          <w:rFonts w:ascii="仿宋_GB2312" w:eastAsia="仿宋_GB2312" w:hint="eastAsia"/>
          <w:sz w:val="32"/>
          <w:szCs w:val="32"/>
        </w:rPr>
        <w:t>将局网站作为政务公开的“第一窗口”和“前沿阵地”，完善政府信息公开专</w:t>
      </w:r>
      <w:r>
        <w:rPr>
          <w:rFonts w:ascii="仿宋_GB2312" w:eastAsia="仿宋_GB2312" w:hint="eastAsia"/>
          <w:sz w:val="32"/>
          <w:szCs w:val="32"/>
        </w:rPr>
        <w:t>栏建设，及时梳理</w:t>
      </w:r>
      <w:r>
        <w:rPr>
          <w:rFonts w:ascii="仿宋_GB2312" w:eastAsia="仿宋_GB2312" w:hint="eastAsia"/>
          <w:sz w:val="32"/>
          <w:szCs w:val="32"/>
        </w:rPr>
        <w:t>更新政府信息公开目录，修订政府信息公开指南，确保网站发布的政府信息内容准确、及时、高效、便民。强化政务新媒体公开重要平台作用，高效运维“文化宿迁”</w:t>
      </w:r>
      <w:proofErr w:type="gramStart"/>
      <w:r>
        <w:rPr>
          <w:rFonts w:ascii="仿宋_GB2312" w:eastAsia="仿宋_GB2312" w:hint="eastAsia"/>
          <w:sz w:val="32"/>
          <w:szCs w:val="32"/>
        </w:rPr>
        <w:t>微信微博</w:t>
      </w:r>
      <w:proofErr w:type="gramEnd"/>
      <w:r>
        <w:rPr>
          <w:rFonts w:ascii="仿宋_GB2312" w:eastAsia="仿宋_GB2312" w:hint="eastAsia"/>
          <w:sz w:val="32"/>
          <w:szCs w:val="32"/>
        </w:rPr>
        <w:t>和“畅游宿迁”微信、微博、</w:t>
      </w:r>
      <w:proofErr w:type="gramStart"/>
      <w:r>
        <w:rPr>
          <w:rFonts w:ascii="仿宋_GB2312" w:eastAsia="仿宋_GB2312" w:hint="eastAsia"/>
          <w:sz w:val="32"/>
          <w:szCs w:val="32"/>
        </w:rPr>
        <w:t>抖音号</w:t>
      </w:r>
      <w:proofErr w:type="gramEnd"/>
      <w:r>
        <w:rPr>
          <w:rFonts w:ascii="仿宋_GB2312" w:eastAsia="仿宋_GB2312" w:hint="eastAsia"/>
          <w:sz w:val="32"/>
          <w:szCs w:val="32"/>
        </w:rPr>
        <w:t>、</w:t>
      </w:r>
      <w:proofErr w:type="gramStart"/>
      <w:r>
        <w:rPr>
          <w:rFonts w:ascii="仿宋_GB2312" w:eastAsia="仿宋_GB2312" w:hint="eastAsia"/>
          <w:sz w:val="32"/>
          <w:szCs w:val="32"/>
        </w:rPr>
        <w:t>微信视频</w:t>
      </w:r>
      <w:proofErr w:type="gramEnd"/>
      <w:r>
        <w:rPr>
          <w:rFonts w:ascii="仿宋_GB2312" w:eastAsia="仿宋_GB2312" w:hint="eastAsia"/>
          <w:sz w:val="32"/>
          <w:szCs w:val="32"/>
        </w:rPr>
        <w:t>号等自媒体账号群。据统计，我局</w:t>
      </w:r>
      <w:r>
        <w:rPr>
          <w:rFonts w:ascii="仿宋_GB2312" w:eastAsia="仿宋_GB2312" w:hint="eastAsia"/>
          <w:sz w:val="32"/>
          <w:szCs w:val="32"/>
        </w:rPr>
        <w:t>6</w:t>
      </w:r>
      <w:r>
        <w:rPr>
          <w:rFonts w:ascii="仿宋_GB2312" w:eastAsia="仿宋_GB2312" w:hint="eastAsia"/>
          <w:sz w:val="32"/>
          <w:szCs w:val="32"/>
        </w:rPr>
        <w:t>个平台账号粉丝总量超过</w:t>
      </w:r>
      <w:r>
        <w:rPr>
          <w:rFonts w:ascii="仿宋_GB2312" w:eastAsia="仿宋_GB2312" w:hint="eastAsia"/>
          <w:sz w:val="32"/>
          <w:szCs w:val="32"/>
        </w:rPr>
        <w:t>120</w:t>
      </w:r>
      <w:r>
        <w:rPr>
          <w:rFonts w:ascii="仿宋_GB2312" w:eastAsia="仿宋_GB2312" w:hint="eastAsia"/>
          <w:sz w:val="32"/>
          <w:szCs w:val="32"/>
        </w:rPr>
        <w:t>万。</w:t>
      </w:r>
      <w:r>
        <w:rPr>
          <w:rFonts w:ascii="仿宋_GB2312" w:eastAsia="仿宋_GB2312" w:hint="eastAsia"/>
          <w:sz w:val="32"/>
          <w:szCs w:val="32"/>
        </w:rPr>
        <w:t>2022</w:t>
      </w:r>
      <w:r>
        <w:rPr>
          <w:rFonts w:ascii="仿宋_GB2312" w:eastAsia="仿宋_GB2312" w:hint="eastAsia"/>
          <w:sz w:val="32"/>
          <w:szCs w:val="32"/>
        </w:rPr>
        <w:t>年，“文化宿迁”</w:t>
      </w:r>
      <w:proofErr w:type="gramStart"/>
      <w:r>
        <w:rPr>
          <w:rFonts w:ascii="仿宋_GB2312" w:eastAsia="仿宋_GB2312" w:hint="eastAsia"/>
          <w:sz w:val="32"/>
          <w:szCs w:val="32"/>
        </w:rPr>
        <w:t>微博信息</w:t>
      </w:r>
      <w:proofErr w:type="gramEnd"/>
      <w:r>
        <w:rPr>
          <w:rFonts w:ascii="仿宋_GB2312" w:eastAsia="仿宋_GB2312" w:hint="eastAsia"/>
          <w:sz w:val="32"/>
          <w:szCs w:val="32"/>
        </w:rPr>
        <w:t>发布量</w:t>
      </w:r>
      <w:r>
        <w:rPr>
          <w:rFonts w:ascii="仿宋_GB2312" w:eastAsia="仿宋_GB2312" w:hint="eastAsia"/>
          <w:sz w:val="32"/>
          <w:szCs w:val="32"/>
        </w:rPr>
        <w:t>186</w:t>
      </w:r>
      <w:r>
        <w:rPr>
          <w:rFonts w:ascii="仿宋_GB2312" w:eastAsia="仿宋_GB2312" w:hint="eastAsia"/>
          <w:sz w:val="32"/>
          <w:szCs w:val="32"/>
        </w:rPr>
        <w:t>条，</w:t>
      </w:r>
      <w:proofErr w:type="gramStart"/>
      <w:r>
        <w:rPr>
          <w:rFonts w:ascii="仿宋_GB2312" w:eastAsia="仿宋_GB2312" w:hint="eastAsia"/>
          <w:sz w:val="32"/>
          <w:szCs w:val="32"/>
        </w:rPr>
        <w:t>微信发布</w:t>
      </w:r>
      <w:proofErr w:type="gramEnd"/>
      <w:r>
        <w:rPr>
          <w:rFonts w:ascii="仿宋_GB2312" w:eastAsia="仿宋_GB2312" w:hint="eastAsia"/>
          <w:sz w:val="32"/>
          <w:szCs w:val="32"/>
        </w:rPr>
        <w:t>量</w:t>
      </w:r>
      <w:r>
        <w:rPr>
          <w:rFonts w:ascii="仿宋_GB2312" w:eastAsia="仿宋_GB2312" w:hint="eastAsia"/>
          <w:sz w:val="32"/>
          <w:szCs w:val="32"/>
        </w:rPr>
        <w:t>322</w:t>
      </w:r>
      <w:r>
        <w:rPr>
          <w:rFonts w:ascii="仿宋_GB2312" w:eastAsia="仿宋_GB2312" w:hint="eastAsia"/>
          <w:sz w:val="32"/>
          <w:szCs w:val="32"/>
        </w:rPr>
        <w:t>条。“畅游宿迁”</w:t>
      </w:r>
      <w:proofErr w:type="gramStart"/>
      <w:r>
        <w:rPr>
          <w:rFonts w:ascii="仿宋_GB2312" w:eastAsia="仿宋_GB2312" w:hint="eastAsia"/>
          <w:sz w:val="32"/>
          <w:szCs w:val="32"/>
        </w:rPr>
        <w:t>微信发布微信</w:t>
      </w:r>
      <w:proofErr w:type="gramEnd"/>
      <w:r>
        <w:rPr>
          <w:rFonts w:ascii="仿宋_GB2312" w:eastAsia="仿宋_GB2312" w:hint="eastAsia"/>
          <w:sz w:val="32"/>
          <w:szCs w:val="32"/>
        </w:rPr>
        <w:t>887</w:t>
      </w:r>
      <w:r>
        <w:rPr>
          <w:rFonts w:ascii="仿宋_GB2312" w:eastAsia="仿宋_GB2312" w:hint="eastAsia"/>
          <w:sz w:val="32"/>
          <w:szCs w:val="32"/>
        </w:rPr>
        <w:t>条，年新增粉丝超过</w:t>
      </w:r>
      <w:r>
        <w:rPr>
          <w:rFonts w:ascii="仿宋_GB2312" w:eastAsia="仿宋_GB2312" w:hint="eastAsia"/>
          <w:sz w:val="32"/>
          <w:szCs w:val="32"/>
        </w:rPr>
        <w:t>2</w:t>
      </w:r>
      <w:r>
        <w:rPr>
          <w:rFonts w:ascii="仿宋_GB2312" w:eastAsia="仿宋_GB2312" w:hint="eastAsia"/>
          <w:sz w:val="32"/>
          <w:szCs w:val="32"/>
        </w:rPr>
        <w:t>万人（总量超过</w:t>
      </w:r>
      <w:r>
        <w:rPr>
          <w:rFonts w:ascii="仿宋_GB2312" w:eastAsia="仿宋_GB2312" w:hint="eastAsia"/>
          <w:sz w:val="32"/>
          <w:szCs w:val="32"/>
        </w:rPr>
        <w:t>18</w:t>
      </w:r>
      <w:r>
        <w:rPr>
          <w:rFonts w:ascii="仿宋_GB2312" w:eastAsia="仿宋_GB2312" w:hint="eastAsia"/>
          <w:sz w:val="32"/>
          <w:szCs w:val="32"/>
        </w:rPr>
        <w:t>万人），</w:t>
      </w:r>
      <w:proofErr w:type="gramStart"/>
      <w:r>
        <w:rPr>
          <w:rFonts w:ascii="仿宋_GB2312" w:eastAsia="仿宋_GB2312" w:hint="eastAsia"/>
          <w:sz w:val="32"/>
          <w:szCs w:val="32"/>
        </w:rPr>
        <w:t>微信阅读</w:t>
      </w:r>
      <w:proofErr w:type="gramEnd"/>
      <w:r>
        <w:rPr>
          <w:rFonts w:ascii="仿宋_GB2312" w:eastAsia="仿宋_GB2312" w:hint="eastAsia"/>
          <w:sz w:val="32"/>
          <w:szCs w:val="32"/>
        </w:rPr>
        <w:t>总量</w:t>
      </w:r>
      <w:r>
        <w:rPr>
          <w:rFonts w:ascii="仿宋_GB2312" w:eastAsia="仿宋_GB2312" w:hint="eastAsia"/>
          <w:sz w:val="32"/>
          <w:szCs w:val="32"/>
        </w:rPr>
        <w:t>113.2</w:t>
      </w:r>
      <w:r>
        <w:rPr>
          <w:rFonts w:ascii="仿宋_GB2312" w:eastAsia="仿宋_GB2312" w:hint="eastAsia"/>
          <w:sz w:val="32"/>
          <w:szCs w:val="32"/>
        </w:rPr>
        <w:t>万次；“畅游宿迁”</w:t>
      </w:r>
      <w:proofErr w:type="gramStart"/>
      <w:r>
        <w:rPr>
          <w:rFonts w:ascii="仿宋_GB2312" w:eastAsia="仿宋_GB2312" w:hint="eastAsia"/>
          <w:sz w:val="32"/>
          <w:szCs w:val="32"/>
        </w:rPr>
        <w:t>微博发布</w:t>
      </w:r>
      <w:proofErr w:type="gramEnd"/>
      <w:r>
        <w:rPr>
          <w:rFonts w:ascii="仿宋_GB2312" w:eastAsia="仿宋_GB2312" w:hint="eastAsia"/>
          <w:sz w:val="32"/>
          <w:szCs w:val="32"/>
        </w:rPr>
        <w:t>信息</w:t>
      </w:r>
      <w:r>
        <w:rPr>
          <w:rFonts w:ascii="仿宋_GB2312" w:eastAsia="仿宋_GB2312" w:hint="eastAsia"/>
          <w:sz w:val="32"/>
          <w:szCs w:val="32"/>
        </w:rPr>
        <w:t>2200</w:t>
      </w:r>
      <w:r>
        <w:rPr>
          <w:rFonts w:ascii="仿宋_GB2312" w:eastAsia="仿宋_GB2312" w:hint="eastAsia"/>
          <w:sz w:val="32"/>
          <w:szCs w:val="32"/>
        </w:rPr>
        <w:t>篇，</w:t>
      </w:r>
      <w:r>
        <w:rPr>
          <w:rFonts w:ascii="仿宋_GB2312" w:eastAsia="仿宋_GB2312" w:hint="eastAsia"/>
          <w:sz w:val="32"/>
          <w:szCs w:val="32"/>
        </w:rPr>
        <w:lastRenderedPageBreak/>
        <w:t>粉丝增长</w:t>
      </w:r>
      <w:r>
        <w:rPr>
          <w:rFonts w:ascii="仿宋_GB2312" w:eastAsia="仿宋_GB2312" w:hint="eastAsia"/>
          <w:sz w:val="32"/>
          <w:szCs w:val="32"/>
        </w:rPr>
        <w:t>2.3</w:t>
      </w:r>
      <w:r>
        <w:rPr>
          <w:rFonts w:ascii="仿宋_GB2312" w:eastAsia="仿宋_GB2312" w:hint="eastAsia"/>
          <w:sz w:val="32"/>
          <w:szCs w:val="32"/>
        </w:rPr>
        <w:t>万人（总量超过</w:t>
      </w:r>
      <w:r>
        <w:rPr>
          <w:rFonts w:ascii="仿宋_GB2312" w:eastAsia="仿宋_GB2312" w:hint="eastAsia"/>
          <w:sz w:val="32"/>
          <w:szCs w:val="32"/>
        </w:rPr>
        <w:t>55</w:t>
      </w:r>
      <w:r>
        <w:rPr>
          <w:rFonts w:ascii="仿宋_GB2312" w:eastAsia="仿宋_GB2312" w:hint="eastAsia"/>
          <w:sz w:val="32"/>
          <w:szCs w:val="32"/>
        </w:rPr>
        <w:t>万人）；“畅</w:t>
      </w:r>
      <w:r>
        <w:rPr>
          <w:rFonts w:ascii="仿宋_GB2312" w:eastAsia="仿宋_GB2312" w:hint="eastAsia"/>
          <w:sz w:val="32"/>
          <w:szCs w:val="32"/>
        </w:rPr>
        <w:t>游宿迁”</w:t>
      </w:r>
      <w:proofErr w:type="gramStart"/>
      <w:r>
        <w:rPr>
          <w:rFonts w:ascii="仿宋_GB2312" w:eastAsia="仿宋_GB2312" w:hint="eastAsia"/>
          <w:sz w:val="32"/>
          <w:szCs w:val="32"/>
        </w:rPr>
        <w:t>抖音号发布</w:t>
      </w:r>
      <w:proofErr w:type="gramEnd"/>
      <w:r>
        <w:rPr>
          <w:rFonts w:ascii="仿宋_GB2312" w:eastAsia="仿宋_GB2312" w:hint="eastAsia"/>
          <w:sz w:val="32"/>
          <w:szCs w:val="32"/>
        </w:rPr>
        <w:t>作品</w:t>
      </w:r>
      <w:r>
        <w:rPr>
          <w:rFonts w:ascii="仿宋_GB2312" w:eastAsia="仿宋_GB2312" w:hint="eastAsia"/>
          <w:sz w:val="32"/>
          <w:szCs w:val="32"/>
        </w:rPr>
        <w:t>138</w:t>
      </w:r>
      <w:r>
        <w:rPr>
          <w:rFonts w:ascii="仿宋_GB2312" w:eastAsia="仿宋_GB2312" w:hint="eastAsia"/>
          <w:sz w:val="32"/>
          <w:szCs w:val="32"/>
        </w:rPr>
        <w:t>个，其中</w:t>
      </w:r>
      <w:r>
        <w:rPr>
          <w:rFonts w:ascii="仿宋_GB2312" w:eastAsia="仿宋_GB2312" w:hint="eastAsia"/>
          <w:sz w:val="32"/>
          <w:szCs w:val="32"/>
        </w:rPr>
        <w:t>30</w:t>
      </w:r>
      <w:r>
        <w:rPr>
          <w:rFonts w:ascii="仿宋_GB2312" w:eastAsia="仿宋_GB2312" w:hint="eastAsia"/>
          <w:sz w:val="32"/>
          <w:szCs w:val="32"/>
        </w:rPr>
        <w:t>个登上地区热榜，粉丝总量</w:t>
      </w:r>
      <w:r>
        <w:rPr>
          <w:rFonts w:ascii="仿宋_GB2312" w:eastAsia="仿宋_GB2312" w:hint="eastAsia"/>
          <w:sz w:val="32"/>
          <w:szCs w:val="32"/>
        </w:rPr>
        <w:t>34.2</w:t>
      </w:r>
      <w:r>
        <w:rPr>
          <w:rFonts w:ascii="仿宋_GB2312" w:eastAsia="仿宋_GB2312" w:hint="eastAsia"/>
          <w:sz w:val="32"/>
          <w:szCs w:val="32"/>
        </w:rPr>
        <w:t>万人，年新增</w:t>
      </w:r>
      <w:proofErr w:type="gramStart"/>
      <w:r>
        <w:rPr>
          <w:rFonts w:ascii="仿宋_GB2312" w:eastAsia="仿宋_GB2312" w:hint="eastAsia"/>
          <w:sz w:val="32"/>
          <w:szCs w:val="32"/>
        </w:rPr>
        <w:t>粉丝超</w:t>
      </w:r>
      <w:proofErr w:type="gramEnd"/>
      <w:r>
        <w:rPr>
          <w:rFonts w:ascii="仿宋_GB2312" w:eastAsia="仿宋_GB2312" w:hint="eastAsia"/>
          <w:sz w:val="32"/>
          <w:szCs w:val="32"/>
        </w:rPr>
        <w:t>10</w:t>
      </w:r>
      <w:r>
        <w:rPr>
          <w:rFonts w:ascii="仿宋_GB2312" w:eastAsia="仿宋_GB2312" w:hint="eastAsia"/>
          <w:sz w:val="32"/>
          <w:szCs w:val="32"/>
        </w:rPr>
        <w:t>万人、新增播放量超</w:t>
      </w:r>
      <w:r>
        <w:rPr>
          <w:rFonts w:ascii="仿宋_GB2312" w:eastAsia="仿宋_GB2312" w:hint="eastAsia"/>
          <w:sz w:val="32"/>
          <w:szCs w:val="32"/>
        </w:rPr>
        <w:t>1500</w:t>
      </w:r>
      <w:r>
        <w:rPr>
          <w:rFonts w:ascii="仿宋_GB2312" w:eastAsia="仿宋_GB2312" w:hint="eastAsia"/>
          <w:sz w:val="32"/>
          <w:szCs w:val="32"/>
        </w:rPr>
        <w:t>万次。“畅游宿迁”</w:t>
      </w:r>
      <w:proofErr w:type="gramStart"/>
      <w:r>
        <w:rPr>
          <w:rFonts w:ascii="仿宋_GB2312" w:eastAsia="仿宋_GB2312" w:hint="eastAsia"/>
          <w:sz w:val="32"/>
          <w:szCs w:val="32"/>
        </w:rPr>
        <w:t>微信视频号年</w:t>
      </w:r>
      <w:proofErr w:type="gramEnd"/>
      <w:r>
        <w:rPr>
          <w:rFonts w:ascii="仿宋_GB2312" w:eastAsia="仿宋_GB2312" w:hint="eastAsia"/>
          <w:sz w:val="32"/>
          <w:szCs w:val="32"/>
        </w:rPr>
        <w:t>新增阅读量</w:t>
      </w:r>
      <w:r>
        <w:rPr>
          <w:rFonts w:ascii="仿宋_GB2312" w:eastAsia="仿宋_GB2312" w:hint="eastAsia"/>
          <w:sz w:val="32"/>
          <w:szCs w:val="32"/>
        </w:rPr>
        <w:t>90</w:t>
      </w:r>
      <w:r>
        <w:rPr>
          <w:rFonts w:ascii="仿宋_GB2312" w:eastAsia="仿宋_GB2312" w:hint="eastAsia"/>
          <w:sz w:val="32"/>
          <w:szCs w:val="32"/>
        </w:rPr>
        <w:t>万次，</w:t>
      </w:r>
      <w:proofErr w:type="gramStart"/>
      <w:r>
        <w:rPr>
          <w:rFonts w:ascii="仿宋_GB2312" w:eastAsia="仿宋_GB2312" w:hint="eastAsia"/>
          <w:sz w:val="32"/>
          <w:szCs w:val="32"/>
        </w:rPr>
        <w:t>点赞量</w:t>
      </w:r>
      <w:proofErr w:type="gramEnd"/>
      <w:r>
        <w:rPr>
          <w:rFonts w:ascii="仿宋_GB2312" w:eastAsia="仿宋_GB2312" w:hint="eastAsia"/>
          <w:sz w:val="32"/>
          <w:szCs w:val="32"/>
        </w:rPr>
        <w:t>5</w:t>
      </w:r>
      <w:r>
        <w:rPr>
          <w:rFonts w:ascii="仿宋_GB2312" w:eastAsia="仿宋_GB2312" w:hint="eastAsia"/>
          <w:sz w:val="32"/>
          <w:szCs w:val="32"/>
        </w:rPr>
        <w:t>万次。</w:t>
      </w:r>
    </w:p>
    <w:p w:rsidR="004F005A" w:rsidRDefault="000E78B8">
      <w:pPr>
        <w:spacing w:line="590" w:lineRule="exact"/>
        <w:ind w:firstLineChars="200" w:firstLine="643"/>
        <w:rPr>
          <w:rFonts w:ascii="仿宋_GB2312" w:eastAsia="仿宋_GB2312"/>
          <w:sz w:val="32"/>
          <w:szCs w:val="32"/>
        </w:rPr>
      </w:pPr>
      <w:r>
        <w:rPr>
          <w:rFonts w:ascii="仿宋_GB2312" w:eastAsia="仿宋_GB2312" w:hint="eastAsia"/>
          <w:b/>
          <w:bCs/>
          <w:sz w:val="32"/>
          <w:szCs w:val="32"/>
        </w:rPr>
        <w:t>（五）切实加强公开监督保障。</w:t>
      </w:r>
      <w:r>
        <w:rPr>
          <w:rFonts w:ascii="仿宋_GB2312" w:eastAsia="仿宋_GB2312" w:hint="eastAsia"/>
          <w:sz w:val="32"/>
          <w:szCs w:val="32"/>
        </w:rPr>
        <w:t>将政府信息公开工作纳入全局对各处室年度工作考核评价百分制体系，加强对县区文广</w:t>
      </w:r>
      <w:proofErr w:type="gramStart"/>
      <w:r>
        <w:rPr>
          <w:rFonts w:ascii="仿宋_GB2312" w:eastAsia="仿宋_GB2312" w:hint="eastAsia"/>
          <w:sz w:val="32"/>
          <w:szCs w:val="32"/>
        </w:rPr>
        <w:t>旅部门</w:t>
      </w:r>
      <w:proofErr w:type="gramEnd"/>
      <w:r>
        <w:rPr>
          <w:rFonts w:ascii="仿宋_GB2312" w:eastAsia="仿宋_GB2312" w:hint="eastAsia"/>
          <w:sz w:val="32"/>
          <w:szCs w:val="32"/>
        </w:rPr>
        <w:t>政府公开工作的督导检查，压实</w:t>
      </w:r>
      <w:r w:rsidR="001C1DF0">
        <w:rPr>
          <w:rFonts w:ascii="仿宋_GB2312" w:eastAsia="仿宋_GB2312" w:hint="eastAsia"/>
          <w:sz w:val="32"/>
          <w:szCs w:val="32"/>
        </w:rPr>
        <w:t>县区</w:t>
      </w:r>
      <w:proofErr w:type="gramStart"/>
      <w:r w:rsidR="001C1DF0">
        <w:rPr>
          <w:rFonts w:ascii="仿宋_GB2312" w:eastAsia="仿宋_GB2312" w:hint="eastAsia"/>
          <w:sz w:val="32"/>
          <w:szCs w:val="32"/>
        </w:rPr>
        <w:t>文旅部门</w:t>
      </w:r>
      <w:proofErr w:type="gramEnd"/>
      <w:r>
        <w:rPr>
          <w:rFonts w:ascii="仿宋_GB2312" w:eastAsia="仿宋_GB2312" w:hint="eastAsia"/>
          <w:sz w:val="32"/>
          <w:szCs w:val="32"/>
        </w:rPr>
        <w:t>政府信息公开工作责任。加强政府信息公开学习培训，邀请专家开展专题授课，提升全局各条</w:t>
      </w:r>
      <w:proofErr w:type="gramStart"/>
      <w:r>
        <w:rPr>
          <w:rFonts w:ascii="仿宋_GB2312" w:eastAsia="仿宋_GB2312" w:hint="eastAsia"/>
          <w:sz w:val="32"/>
          <w:szCs w:val="32"/>
        </w:rPr>
        <w:t>线政府</w:t>
      </w:r>
      <w:proofErr w:type="gramEnd"/>
      <w:r>
        <w:rPr>
          <w:rFonts w:ascii="仿宋_GB2312" w:eastAsia="仿宋_GB2312" w:hint="eastAsia"/>
          <w:sz w:val="32"/>
          <w:szCs w:val="32"/>
        </w:rPr>
        <w:t>信息工作意识和责任感。同时，认真落实市政府政务公开办季度反馈报告内容，</w:t>
      </w:r>
      <w:r w:rsidR="001C1DF0">
        <w:rPr>
          <w:rFonts w:ascii="仿宋_GB2312" w:eastAsia="仿宋_GB2312" w:hint="eastAsia"/>
          <w:sz w:val="32"/>
          <w:szCs w:val="32"/>
        </w:rPr>
        <w:t>对指出的问题，明确专人迅速予以</w:t>
      </w:r>
      <w:r>
        <w:rPr>
          <w:rFonts w:ascii="仿宋_GB2312" w:eastAsia="仿宋_GB2312" w:hint="eastAsia"/>
          <w:sz w:val="32"/>
          <w:szCs w:val="32"/>
        </w:rPr>
        <w:t>整改</w:t>
      </w:r>
      <w:r>
        <w:rPr>
          <w:rFonts w:ascii="仿宋_GB2312" w:eastAsia="仿宋_GB2312" w:hint="eastAsia"/>
          <w:sz w:val="32"/>
          <w:szCs w:val="32"/>
        </w:rPr>
        <w:t>，进一步提升政府信</w:t>
      </w:r>
      <w:r>
        <w:rPr>
          <w:rFonts w:ascii="仿宋_GB2312" w:eastAsia="仿宋_GB2312" w:hint="eastAsia"/>
          <w:sz w:val="32"/>
          <w:szCs w:val="32"/>
        </w:rPr>
        <w:t>息公开规范性、科学性。</w:t>
      </w:r>
    </w:p>
    <w:p w:rsidR="004F005A" w:rsidRDefault="000E78B8">
      <w:pPr>
        <w:ind w:firstLineChars="200" w:firstLine="640"/>
        <w:jc w:val="left"/>
        <w:rPr>
          <w:rFonts w:ascii="黑体" w:eastAsia="黑体" w:hAnsi="黑体" w:cs="Times New Roman"/>
          <w:color w:val="222222"/>
          <w:sz w:val="32"/>
          <w:szCs w:val="32"/>
        </w:rPr>
      </w:pPr>
      <w:r>
        <w:rPr>
          <w:rFonts w:ascii="黑体" w:eastAsia="黑体" w:hAnsi="黑体" w:cs="Times New Roman"/>
          <w:color w:val="222222"/>
          <w:sz w:val="32"/>
          <w:szCs w:val="32"/>
        </w:rPr>
        <w:t>二、主动公开政府信息情况</w:t>
      </w:r>
    </w:p>
    <w:tbl>
      <w:tblPr>
        <w:tblpPr w:leftFromText="180" w:rightFromText="180" w:vertAnchor="text" w:horzAnchor="margin" w:tblpXSpec="center" w:tblpY="279"/>
        <w:tblOverlap w:val="never"/>
        <w:tblW w:w="8140" w:type="dxa"/>
        <w:jc w:val="center"/>
        <w:tblLayout w:type="fixed"/>
        <w:tblCellMar>
          <w:left w:w="0" w:type="dxa"/>
          <w:right w:w="0" w:type="dxa"/>
        </w:tblCellMar>
        <w:tblLook w:val="04A0" w:firstRow="1" w:lastRow="0" w:firstColumn="1" w:lastColumn="0" w:noHBand="0" w:noVBand="1"/>
      </w:tblPr>
      <w:tblGrid>
        <w:gridCol w:w="3113"/>
        <w:gridCol w:w="1875"/>
        <w:gridCol w:w="1271"/>
        <w:gridCol w:w="1881"/>
      </w:tblGrid>
      <w:tr w:rsidR="004F005A">
        <w:trPr>
          <w:trHeight w:val="495"/>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第二十条第（一）项</w:t>
            </w:r>
          </w:p>
        </w:tc>
      </w:tr>
      <w:tr w:rsidR="004F005A">
        <w:trPr>
          <w:trHeight w:val="62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本年</w:t>
            </w:r>
            <w:r>
              <w:rPr>
                <w:rFonts w:ascii="宋体" w:eastAsia="宋体" w:hAnsi="宋体" w:cs="宋体"/>
                <w:kern w:val="0"/>
                <w:sz w:val="20"/>
                <w:szCs w:val="20"/>
              </w:rPr>
              <w:t>制</w:t>
            </w:r>
            <w:r>
              <w:rPr>
                <w:rFonts w:ascii="宋体" w:eastAsia="宋体" w:hAnsi="宋体" w:cs="宋体" w:hint="eastAsia"/>
                <w:kern w:val="0"/>
                <w:sz w:val="20"/>
                <w:szCs w:val="20"/>
              </w:rPr>
              <w:t>发件数</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本年</w:t>
            </w:r>
            <w:r>
              <w:rPr>
                <w:rFonts w:ascii="宋体" w:eastAsia="宋体" w:hAnsi="宋体" w:cs="宋体" w:hint="eastAsia"/>
                <w:color w:val="000000"/>
                <w:kern w:val="0"/>
                <w:sz w:val="20"/>
                <w:szCs w:val="20"/>
              </w:rPr>
              <w:t>废止件数</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现行有效件数</w:t>
            </w:r>
          </w:p>
        </w:tc>
      </w:tr>
      <w:tr w:rsidR="004F005A">
        <w:trPr>
          <w:trHeight w:val="44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宋体" w:eastAsia="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4F005A">
        <w:trPr>
          <w:trHeight w:val="38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宋体" w:eastAsia="宋体" w:hAnsi="宋体" w:cs="宋体" w:hint="eastAsia"/>
                <w:color w:val="000000"/>
                <w:kern w:val="0"/>
                <w:sz w:val="20"/>
                <w:szCs w:val="20"/>
              </w:rPr>
              <w:t>行政</w:t>
            </w:r>
            <w:r>
              <w:rPr>
                <w:rFonts w:ascii="宋体" w:eastAsia="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r>
      <w:tr w:rsidR="004F005A">
        <w:trPr>
          <w:trHeight w:val="480"/>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第二十条第（五）项</w:t>
            </w:r>
          </w:p>
        </w:tc>
      </w:tr>
      <w:tr w:rsidR="004F005A">
        <w:trPr>
          <w:trHeight w:val="45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信息内容</w:t>
            </w:r>
          </w:p>
        </w:tc>
        <w:tc>
          <w:tcPr>
            <w:tcW w:w="5027"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本年</w:t>
            </w:r>
            <w:r>
              <w:rPr>
                <w:rFonts w:ascii="宋体" w:eastAsia="宋体" w:hAnsi="宋体" w:cs="宋体" w:hint="eastAsia"/>
                <w:color w:val="000000"/>
                <w:kern w:val="0"/>
                <w:sz w:val="20"/>
                <w:szCs w:val="20"/>
              </w:rPr>
              <w:t>处理决定数量</w:t>
            </w:r>
          </w:p>
        </w:tc>
      </w:tr>
      <w:tr w:rsidR="004F005A">
        <w:trPr>
          <w:trHeight w:val="37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宋体" w:eastAsia="宋体" w:hAnsi="宋体" w:cs="宋体" w:hint="eastAsia"/>
                <w:color w:val="000000"/>
                <w:kern w:val="0"/>
                <w:sz w:val="20"/>
                <w:szCs w:val="20"/>
              </w:rPr>
              <w:t>行政许可</w:t>
            </w:r>
          </w:p>
        </w:tc>
        <w:tc>
          <w:tcPr>
            <w:tcW w:w="502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4"/>
              </w:rPr>
              <w:t>85</w:t>
            </w:r>
          </w:p>
        </w:tc>
      </w:tr>
      <w:tr w:rsidR="004F005A">
        <w:trPr>
          <w:trHeight w:val="406"/>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第二十条第（六）项</w:t>
            </w:r>
          </w:p>
        </w:tc>
      </w:tr>
      <w:tr w:rsidR="004F005A">
        <w:trPr>
          <w:trHeight w:val="40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信息内容</w:t>
            </w:r>
          </w:p>
        </w:tc>
        <w:tc>
          <w:tcPr>
            <w:tcW w:w="5027"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本年</w:t>
            </w:r>
            <w:r>
              <w:rPr>
                <w:rFonts w:ascii="宋体" w:eastAsia="宋体" w:hAnsi="宋体" w:cs="宋体" w:hint="eastAsia"/>
                <w:color w:val="000000"/>
                <w:kern w:val="0"/>
                <w:sz w:val="20"/>
                <w:szCs w:val="20"/>
              </w:rPr>
              <w:t>处理决定数量</w:t>
            </w:r>
          </w:p>
        </w:tc>
      </w:tr>
      <w:tr w:rsidR="004F005A">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宋体" w:eastAsia="宋体" w:hAnsi="宋体" w:cs="宋体" w:hint="eastAsia"/>
                <w:color w:val="000000"/>
                <w:kern w:val="0"/>
                <w:sz w:val="20"/>
                <w:szCs w:val="20"/>
              </w:rPr>
              <w:t>行政处罚</w:t>
            </w:r>
          </w:p>
        </w:tc>
        <w:tc>
          <w:tcPr>
            <w:tcW w:w="502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w:t>
            </w:r>
          </w:p>
        </w:tc>
      </w:tr>
      <w:tr w:rsidR="004F005A">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宋体" w:eastAsia="宋体" w:hAnsi="宋体" w:cs="宋体" w:hint="eastAsia"/>
                <w:color w:val="000000"/>
                <w:kern w:val="0"/>
                <w:sz w:val="20"/>
                <w:szCs w:val="20"/>
              </w:rPr>
              <w:t>行政强制</w:t>
            </w:r>
          </w:p>
        </w:tc>
        <w:tc>
          <w:tcPr>
            <w:tcW w:w="502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4F005A">
        <w:trPr>
          <w:trHeight w:val="474"/>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lastRenderedPageBreak/>
              <w:t>第二十条第（八）项</w:t>
            </w:r>
          </w:p>
        </w:tc>
      </w:tr>
      <w:tr w:rsidR="004F005A">
        <w:trPr>
          <w:trHeight w:val="29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信息内容</w:t>
            </w:r>
          </w:p>
        </w:tc>
        <w:tc>
          <w:tcPr>
            <w:tcW w:w="502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本年收费金额（单位：万元）</w:t>
            </w:r>
          </w:p>
        </w:tc>
      </w:tr>
      <w:tr w:rsidR="004F005A">
        <w:trPr>
          <w:trHeight w:val="466"/>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宋体" w:eastAsia="宋体" w:hAnsi="宋体" w:cs="宋体" w:hint="eastAsia"/>
                <w:color w:val="000000"/>
                <w:kern w:val="0"/>
                <w:sz w:val="20"/>
                <w:szCs w:val="20"/>
              </w:rPr>
              <w:t>行政事业性收费</w:t>
            </w:r>
          </w:p>
        </w:tc>
        <w:tc>
          <w:tcPr>
            <w:tcW w:w="502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0.414</w:t>
            </w:r>
          </w:p>
        </w:tc>
      </w:tr>
    </w:tbl>
    <w:p w:rsidR="004F005A" w:rsidRDefault="000E78B8">
      <w:pPr>
        <w:ind w:firstLineChars="200" w:firstLine="640"/>
        <w:jc w:val="left"/>
        <w:rPr>
          <w:rFonts w:ascii="黑体" w:eastAsia="黑体" w:hAnsi="黑体" w:cs="Times New Roman"/>
          <w:color w:val="222222"/>
          <w:sz w:val="32"/>
          <w:szCs w:val="32"/>
        </w:rPr>
      </w:pPr>
      <w:r>
        <w:rPr>
          <w:rFonts w:ascii="黑体" w:eastAsia="黑体" w:hAnsi="黑体" w:cs="Times New Roman"/>
          <w:color w:val="222222"/>
          <w:sz w:val="32"/>
          <w:szCs w:val="32"/>
        </w:rPr>
        <w:t>三、收到和处理政府信息公开申请情况</w:t>
      </w:r>
    </w:p>
    <w:tbl>
      <w:tblPr>
        <w:tblW w:w="9053" w:type="dxa"/>
        <w:jc w:val="center"/>
        <w:tblLayout w:type="fixed"/>
        <w:tblCellMar>
          <w:left w:w="0" w:type="dxa"/>
          <w:right w:w="0" w:type="dxa"/>
        </w:tblCellMar>
        <w:tblLook w:val="04A0" w:firstRow="1" w:lastRow="0" w:firstColumn="1" w:lastColumn="0" w:noHBand="0" w:noVBand="1"/>
      </w:tblPr>
      <w:tblGrid>
        <w:gridCol w:w="756"/>
        <w:gridCol w:w="803"/>
        <w:gridCol w:w="1836"/>
        <w:gridCol w:w="825"/>
        <w:gridCol w:w="720"/>
        <w:gridCol w:w="780"/>
        <w:gridCol w:w="960"/>
        <w:gridCol w:w="840"/>
        <w:gridCol w:w="675"/>
        <w:gridCol w:w="858"/>
      </w:tblGrid>
      <w:tr w:rsidR="004F005A">
        <w:trPr>
          <w:trHeight w:val="307"/>
          <w:jc w:val="center"/>
        </w:trPr>
        <w:tc>
          <w:tcPr>
            <w:tcW w:w="3395"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（本列数据的勾</w:t>
            </w:r>
            <w:proofErr w:type="gramStart"/>
            <w:r>
              <w:rPr>
                <w:rFonts w:ascii="宋体" w:eastAsia="宋体" w:hAnsi="宋体" w:cs="宋体" w:hint="eastAsia"/>
                <w:kern w:val="0"/>
                <w:sz w:val="20"/>
                <w:szCs w:val="20"/>
              </w:rPr>
              <w:t>稽</w:t>
            </w:r>
            <w:proofErr w:type="gramEnd"/>
            <w:r>
              <w:rPr>
                <w:rFonts w:ascii="宋体" w:eastAsia="宋体" w:hAnsi="宋体" w:cs="宋体" w:hint="eastAsia"/>
                <w:kern w:val="0"/>
                <w:sz w:val="20"/>
                <w:szCs w:val="20"/>
              </w:rPr>
              <w:t>关系为：第一项加第二项之和，等于第三项加第四项之和）</w:t>
            </w:r>
          </w:p>
        </w:tc>
        <w:tc>
          <w:tcPr>
            <w:tcW w:w="565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申请人情况</w:t>
            </w:r>
          </w:p>
        </w:tc>
      </w:tr>
      <w:tr w:rsidR="004F005A">
        <w:trPr>
          <w:trHeight w:val="142"/>
          <w:jc w:val="center"/>
        </w:trPr>
        <w:tc>
          <w:tcPr>
            <w:tcW w:w="3395" w:type="dxa"/>
            <w:gridSpan w:val="3"/>
            <w:vMerge/>
            <w:tcBorders>
              <w:top w:val="single" w:sz="8" w:space="0" w:color="auto"/>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2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自然人</w:t>
            </w:r>
          </w:p>
        </w:tc>
        <w:tc>
          <w:tcPr>
            <w:tcW w:w="397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法人或其他组织</w:t>
            </w:r>
          </w:p>
        </w:tc>
        <w:tc>
          <w:tcPr>
            <w:tcW w:w="8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总计</w:t>
            </w:r>
          </w:p>
        </w:tc>
      </w:tr>
      <w:tr w:rsidR="004F005A">
        <w:trPr>
          <w:trHeight w:val="142"/>
          <w:jc w:val="center"/>
        </w:trPr>
        <w:tc>
          <w:tcPr>
            <w:tcW w:w="3395" w:type="dxa"/>
            <w:gridSpan w:val="3"/>
            <w:vMerge/>
            <w:tcBorders>
              <w:top w:val="single" w:sz="8" w:space="0" w:color="auto"/>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25" w:type="dxa"/>
            <w:vMerge/>
            <w:tcBorders>
              <w:top w:val="nil"/>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商业企业</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科研机构</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社会公益组织</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法律服务机构</w:t>
            </w:r>
          </w:p>
        </w:tc>
        <w:tc>
          <w:tcPr>
            <w:tcW w:w="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其他</w:t>
            </w:r>
          </w:p>
        </w:tc>
        <w:tc>
          <w:tcPr>
            <w:tcW w:w="858" w:type="dxa"/>
            <w:vMerge/>
            <w:tcBorders>
              <w:top w:val="single" w:sz="8" w:space="0" w:color="auto"/>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r>
      <w:tr w:rsidR="004F005A">
        <w:trPr>
          <w:trHeight w:val="307"/>
          <w:jc w:val="center"/>
        </w:trPr>
        <w:tc>
          <w:tcPr>
            <w:tcW w:w="33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宋体" w:eastAsia="宋体" w:hAnsi="宋体" w:cs="宋体" w:hint="eastAsia"/>
                <w:kern w:val="0"/>
                <w:sz w:val="20"/>
                <w:szCs w:val="20"/>
              </w:rPr>
              <w:t>一、本年新收政府信息公开申请数量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3</w:t>
            </w:r>
          </w:p>
        </w:tc>
      </w:tr>
      <w:tr w:rsidR="004F005A">
        <w:trPr>
          <w:trHeight w:val="297"/>
          <w:jc w:val="center"/>
        </w:trPr>
        <w:tc>
          <w:tcPr>
            <w:tcW w:w="33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宋体" w:eastAsia="宋体" w:hAnsi="宋体" w:cs="宋体" w:hint="eastAsia"/>
                <w:kern w:val="0"/>
                <w:sz w:val="20"/>
                <w:szCs w:val="20"/>
              </w:rPr>
              <w:t>二、上年结转政府信息公开申请数量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307"/>
          <w:jc w:val="center"/>
        </w:trPr>
        <w:tc>
          <w:tcPr>
            <w:tcW w:w="75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三、本年度办理结果</w:t>
            </w:r>
          </w:p>
        </w:tc>
        <w:tc>
          <w:tcPr>
            <w:tcW w:w="263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（一）予以公开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3</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263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（二）部分公开（区分处理的，只计这一情形，不计其他情形）</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297"/>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（三）不予公开</w:t>
            </w: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1.</w:t>
            </w:r>
            <w:r>
              <w:rPr>
                <w:rFonts w:ascii="楷体" w:eastAsia="楷体" w:hAnsi="楷体" w:cs="宋体" w:hint="eastAsia"/>
                <w:kern w:val="0"/>
                <w:sz w:val="20"/>
                <w:szCs w:val="20"/>
              </w:rPr>
              <w:t>属于国家秘密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tcBorders>
              <w:top w:val="nil"/>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2.</w:t>
            </w:r>
            <w:r>
              <w:rPr>
                <w:rFonts w:ascii="楷体" w:eastAsia="楷体" w:hAnsi="楷体" w:cs="宋体" w:hint="eastAsia"/>
                <w:kern w:val="0"/>
                <w:sz w:val="20"/>
                <w:szCs w:val="20"/>
              </w:rPr>
              <w:t>其他法律行政法规禁止公开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tcBorders>
              <w:top w:val="nil"/>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3.</w:t>
            </w:r>
            <w:r>
              <w:rPr>
                <w:rFonts w:ascii="楷体" w:eastAsia="楷体" w:hAnsi="楷体" w:cs="宋体" w:hint="eastAsia"/>
                <w:kern w:val="0"/>
                <w:sz w:val="20"/>
                <w:szCs w:val="20"/>
              </w:rPr>
              <w:t>危及“三安全</w:t>
            </w:r>
            <w:proofErr w:type="gramStart"/>
            <w:r>
              <w:rPr>
                <w:rFonts w:ascii="楷体" w:eastAsia="楷体" w:hAnsi="楷体" w:cs="宋体" w:hint="eastAsia"/>
                <w:kern w:val="0"/>
                <w:sz w:val="20"/>
                <w:szCs w:val="20"/>
              </w:rPr>
              <w:t>一</w:t>
            </w:r>
            <w:proofErr w:type="gramEnd"/>
            <w:r>
              <w:rPr>
                <w:rFonts w:ascii="楷体" w:eastAsia="楷体" w:hAnsi="楷体" w:cs="宋体" w:hint="eastAsia"/>
                <w:kern w:val="0"/>
                <w:sz w:val="20"/>
                <w:szCs w:val="20"/>
              </w:rPr>
              <w:t>稳定”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tcBorders>
              <w:top w:val="nil"/>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4.</w:t>
            </w:r>
            <w:r>
              <w:rPr>
                <w:rFonts w:ascii="楷体" w:eastAsia="楷体" w:hAnsi="楷体" w:cs="宋体" w:hint="eastAsia"/>
                <w:kern w:val="0"/>
                <w:sz w:val="20"/>
                <w:szCs w:val="20"/>
              </w:rPr>
              <w:t>保护第三方合法权益</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tcBorders>
              <w:top w:val="nil"/>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5.</w:t>
            </w:r>
            <w:r>
              <w:rPr>
                <w:rFonts w:ascii="楷体" w:eastAsia="楷体" w:hAnsi="楷体" w:cs="宋体" w:hint="eastAsia"/>
                <w:kern w:val="0"/>
                <w:sz w:val="20"/>
                <w:szCs w:val="20"/>
              </w:rPr>
              <w:t>属于三类内部事务信息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tcBorders>
              <w:top w:val="nil"/>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6.</w:t>
            </w:r>
            <w:r>
              <w:rPr>
                <w:rFonts w:ascii="楷体" w:eastAsia="楷体" w:hAnsi="楷体" w:cs="宋体" w:hint="eastAsia"/>
                <w:kern w:val="0"/>
                <w:sz w:val="20"/>
                <w:szCs w:val="20"/>
              </w:rPr>
              <w:t>属于四类过程性信息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tcBorders>
              <w:top w:val="nil"/>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7.</w:t>
            </w:r>
            <w:r>
              <w:rPr>
                <w:rFonts w:ascii="楷体" w:eastAsia="楷体" w:hAnsi="楷体" w:cs="宋体" w:hint="eastAsia"/>
                <w:kern w:val="0"/>
                <w:sz w:val="20"/>
                <w:szCs w:val="20"/>
              </w:rPr>
              <w:t>属于行政执法案卷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tcBorders>
              <w:top w:val="nil"/>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8.</w:t>
            </w:r>
            <w:r>
              <w:rPr>
                <w:rFonts w:ascii="楷体" w:eastAsia="楷体" w:hAnsi="楷体" w:cs="宋体" w:hint="eastAsia"/>
                <w:kern w:val="0"/>
                <w:sz w:val="20"/>
                <w:szCs w:val="20"/>
              </w:rPr>
              <w:t>属于行政查询事项</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（四）无法提供</w:t>
            </w: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1.</w:t>
            </w:r>
            <w:r>
              <w:rPr>
                <w:rFonts w:ascii="楷体" w:eastAsia="楷体" w:hAnsi="楷体" w:cs="宋体" w:hint="eastAsia"/>
                <w:kern w:val="0"/>
                <w:sz w:val="20"/>
                <w:szCs w:val="20"/>
              </w:rPr>
              <w:t>本机关不掌握相关政府信息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tcBorders>
              <w:top w:val="nil"/>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2.</w:t>
            </w:r>
            <w:r>
              <w:rPr>
                <w:rFonts w:ascii="楷体" w:eastAsia="楷体" w:hAnsi="楷体" w:cs="宋体" w:hint="eastAsia"/>
                <w:kern w:val="0"/>
                <w:sz w:val="20"/>
                <w:szCs w:val="20"/>
              </w:rPr>
              <w:t>没有现成信息需要另行制作</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tcBorders>
              <w:top w:val="nil"/>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3.</w:t>
            </w:r>
            <w:r>
              <w:rPr>
                <w:rFonts w:ascii="楷体" w:eastAsia="楷体" w:hAnsi="楷体" w:cs="宋体" w:hint="eastAsia"/>
                <w:kern w:val="0"/>
                <w:sz w:val="20"/>
                <w:szCs w:val="20"/>
              </w:rPr>
              <w:t>补正后申请内容仍不明确</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（五）</w:t>
            </w:r>
            <w:proofErr w:type="gramStart"/>
            <w:r>
              <w:rPr>
                <w:rFonts w:ascii="楷体" w:eastAsia="楷体" w:hAnsi="楷体" w:cs="宋体" w:hint="eastAsia"/>
                <w:kern w:val="0"/>
                <w:sz w:val="20"/>
                <w:szCs w:val="20"/>
              </w:rPr>
              <w:t>不予</w:t>
            </w:r>
            <w:r>
              <w:rPr>
                <w:rFonts w:ascii="楷体" w:eastAsia="楷体" w:hAnsi="楷体" w:cs="宋体" w:hint="eastAsia"/>
                <w:kern w:val="0"/>
                <w:sz w:val="20"/>
                <w:szCs w:val="20"/>
              </w:rPr>
              <w:lastRenderedPageBreak/>
              <w:t>处理</w:t>
            </w:r>
            <w:proofErr w:type="gramEnd"/>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lastRenderedPageBreak/>
              <w:t>1.</w:t>
            </w:r>
            <w:r>
              <w:rPr>
                <w:rFonts w:ascii="楷体" w:eastAsia="楷体" w:hAnsi="楷体" w:cs="宋体" w:hint="eastAsia"/>
                <w:kern w:val="0"/>
                <w:sz w:val="20"/>
                <w:szCs w:val="20"/>
              </w:rPr>
              <w:t>信访举报投诉类申请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tcBorders>
              <w:top w:val="nil"/>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2.</w:t>
            </w:r>
            <w:r>
              <w:rPr>
                <w:rFonts w:ascii="楷体" w:eastAsia="楷体" w:hAnsi="楷体" w:cs="宋体" w:hint="eastAsia"/>
                <w:kern w:val="0"/>
                <w:sz w:val="20"/>
                <w:szCs w:val="20"/>
              </w:rPr>
              <w:t>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tcBorders>
              <w:top w:val="nil"/>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3.</w:t>
            </w:r>
            <w:r>
              <w:rPr>
                <w:rFonts w:ascii="楷体" w:eastAsia="楷体" w:hAnsi="楷体" w:cs="宋体" w:hint="eastAsia"/>
                <w:kern w:val="0"/>
                <w:sz w:val="20"/>
                <w:szCs w:val="20"/>
              </w:rPr>
              <w:t>要求提供公开出版物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tcBorders>
              <w:top w:val="nil"/>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4.</w:t>
            </w:r>
            <w:r>
              <w:rPr>
                <w:rFonts w:ascii="楷体" w:eastAsia="楷体" w:hAnsi="楷体" w:cs="宋体" w:hint="eastAsia"/>
                <w:kern w:val="0"/>
                <w:sz w:val="20"/>
                <w:szCs w:val="20"/>
              </w:rPr>
              <w:t>无正当理由大量反复申请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tcBorders>
              <w:top w:val="nil"/>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5.</w:t>
            </w:r>
            <w:r>
              <w:rPr>
                <w:rFonts w:ascii="楷体" w:eastAsia="楷体" w:hAnsi="楷体" w:cs="宋体" w:hint="eastAsia"/>
                <w:kern w:val="0"/>
                <w:sz w:val="20"/>
                <w:szCs w:val="20"/>
              </w:rPr>
              <w:t>要求行政机关确认或重新出具已获取信息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5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val="restart"/>
            <w:tcBorders>
              <w:top w:val="nil"/>
              <w:left w:val="nil"/>
              <w:right w:val="single" w:sz="4"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（六）其他处理</w:t>
            </w:r>
          </w:p>
        </w:tc>
        <w:tc>
          <w:tcPr>
            <w:tcW w:w="183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楷体" w:eastAsia="楷体" w:hAnsi="楷体" w:cs="宋体"/>
                <w:kern w:val="0"/>
                <w:sz w:val="20"/>
                <w:szCs w:val="20"/>
              </w:rPr>
            </w:pPr>
            <w:r>
              <w:rPr>
                <w:rFonts w:ascii="楷体" w:eastAsia="楷体" w:hAnsi="楷体" w:cs="宋体" w:hint="eastAsia"/>
                <w:kern w:val="0"/>
                <w:sz w:val="20"/>
                <w:szCs w:val="20"/>
              </w:rPr>
              <w:t>1.</w:t>
            </w:r>
            <w:r>
              <w:rPr>
                <w:rFonts w:ascii="楷体" w:eastAsia="楷体" w:hAnsi="楷体" w:cs="宋体" w:hint="eastAsia"/>
                <w:kern w:val="0"/>
                <w:sz w:val="20"/>
                <w:szCs w:val="20"/>
              </w:rPr>
              <w:t>申请人无正当理由逾期</w:t>
            </w:r>
            <w:proofErr w:type="gramStart"/>
            <w:r>
              <w:rPr>
                <w:rFonts w:ascii="楷体" w:eastAsia="楷体" w:hAnsi="楷体" w:cs="宋体" w:hint="eastAsia"/>
                <w:kern w:val="0"/>
                <w:sz w:val="20"/>
                <w:szCs w:val="20"/>
              </w:rPr>
              <w:t>不</w:t>
            </w:r>
            <w:proofErr w:type="gramEnd"/>
            <w:r>
              <w:rPr>
                <w:rFonts w:ascii="楷体" w:eastAsia="楷体" w:hAnsi="楷体" w:cs="宋体" w:hint="eastAsia"/>
                <w:kern w:val="0"/>
                <w:sz w:val="20"/>
                <w:szCs w:val="20"/>
              </w:rPr>
              <w:t>补正、行政机关</w:t>
            </w:r>
            <w:proofErr w:type="gramStart"/>
            <w:r>
              <w:rPr>
                <w:rFonts w:ascii="楷体" w:eastAsia="楷体" w:hAnsi="楷体" w:cs="宋体" w:hint="eastAsia"/>
                <w:kern w:val="0"/>
                <w:sz w:val="20"/>
                <w:szCs w:val="20"/>
              </w:rPr>
              <w:t>不</w:t>
            </w:r>
            <w:proofErr w:type="gramEnd"/>
            <w:r>
              <w:rPr>
                <w:rFonts w:ascii="楷体" w:eastAsia="楷体" w:hAnsi="楷体" w:cs="宋体" w:hint="eastAsia"/>
                <w:kern w:val="0"/>
                <w:sz w:val="20"/>
                <w:szCs w:val="20"/>
              </w:rPr>
              <w:t>再处理其政府信息公开申请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tcBorders>
              <w:left w:val="nil"/>
              <w:right w:val="single" w:sz="4" w:space="0" w:color="auto"/>
            </w:tcBorders>
            <w:tcMar>
              <w:top w:w="0" w:type="dxa"/>
              <w:left w:w="108" w:type="dxa"/>
              <w:bottom w:w="0" w:type="dxa"/>
              <w:right w:w="108" w:type="dxa"/>
            </w:tcMar>
            <w:vAlign w:val="center"/>
          </w:tcPr>
          <w:p w:rsidR="004F005A" w:rsidRDefault="004F005A">
            <w:pPr>
              <w:widowControl/>
              <w:jc w:val="left"/>
              <w:rPr>
                <w:rFonts w:ascii="楷体" w:eastAsia="楷体" w:hAnsi="楷体" w:cs="宋体"/>
                <w:kern w:val="0"/>
                <w:sz w:val="20"/>
                <w:szCs w:val="20"/>
              </w:rPr>
            </w:pPr>
          </w:p>
        </w:tc>
        <w:tc>
          <w:tcPr>
            <w:tcW w:w="183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楷体" w:eastAsia="楷体" w:hAnsi="楷体" w:cs="宋体"/>
                <w:kern w:val="0"/>
                <w:sz w:val="20"/>
                <w:szCs w:val="20"/>
              </w:rPr>
            </w:pPr>
            <w:r>
              <w:rPr>
                <w:rFonts w:ascii="楷体" w:eastAsia="楷体" w:hAnsi="楷体" w:cs="宋体" w:hint="eastAsia"/>
                <w:kern w:val="0"/>
                <w:sz w:val="20"/>
                <w:szCs w:val="20"/>
              </w:rPr>
              <w:t>2.</w:t>
            </w:r>
            <w:r>
              <w:rPr>
                <w:rFonts w:ascii="楷体" w:eastAsia="楷体" w:hAnsi="楷体" w:cs="宋体" w:hint="eastAsia"/>
                <w:kern w:val="0"/>
                <w:sz w:val="20"/>
                <w:szCs w:val="20"/>
              </w:rPr>
              <w:t>申请</w:t>
            </w:r>
            <w:r>
              <w:rPr>
                <w:rFonts w:ascii="楷体" w:eastAsia="楷体" w:hAnsi="楷体" w:cs="宋体" w:hint="eastAsia"/>
                <w:kern w:val="0"/>
                <w:sz w:val="20"/>
                <w:szCs w:val="20"/>
              </w:rPr>
              <w:t>人逾期未按收费通知要求缴纳费用、行政机关</w:t>
            </w:r>
            <w:proofErr w:type="gramStart"/>
            <w:r>
              <w:rPr>
                <w:rFonts w:ascii="楷体" w:eastAsia="楷体" w:hAnsi="楷体" w:cs="宋体" w:hint="eastAsia"/>
                <w:kern w:val="0"/>
                <w:sz w:val="20"/>
                <w:szCs w:val="20"/>
              </w:rPr>
              <w:t>不</w:t>
            </w:r>
            <w:proofErr w:type="gramEnd"/>
            <w:r>
              <w:rPr>
                <w:rFonts w:ascii="楷体" w:eastAsia="楷体" w:hAnsi="楷体" w:cs="宋体" w:hint="eastAsia"/>
                <w:kern w:val="0"/>
                <w:sz w:val="20"/>
                <w:szCs w:val="20"/>
              </w:rPr>
              <w:t>再处理其政府信息公开申请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Calibri"/>
                <w:kern w:val="0"/>
                <w:sz w:val="20"/>
                <w:szCs w:val="20"/>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Calibri"/>
                <w:kern w:val="0"/>
                <w:sz w:val="20"/>
                <w:szCs w:val="20"/>
              </w:rPr>
            </w:pPr>
            <w:r>
              <w:rPr>
                <w:rFonts w:ascii="Calibri" w:eastAsia="宋体" w:hAnsi="Calibri" w:cs="Calibri" w:hint="eastAsia"/>
                <w:kern w:val="0"/>
                <w:sz w:val="20"/>
                <w:szCs w:val="20"/>
              </w:rPr>
              <w:t>0</w:t>
            </w: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803" w:type="dxa"/>
            <w:vMerge/>
            <w:tcBorders>
              <w:left w:val="nil"/>
              <w:bottom w:val="single" w:sz="8" w:space="0" w:color="auto"/>
              <w:right w:val="single" w:sz="4" w:space="0" w:color="auto"/>
            </w:tcBorders>
            <w:tcMar>
              <w:top w:w="0" w:type="dxa"/>
              <w:left w:w="108" w:type="dxa"/>
              <w:bottom w:w="0" w:type="dxa"/>
              <w:right w:w="108" w:type="dxa"/>
            </w:tcMar>
            <w:vAlign w:val="center"/>
          </w:tcPr>
          <w:p w:rsidR="004F005A" w:rsidRDefault="004F005A">
            <w:pPr>
              <w:widowControl/>
              <w:jc w:val="left"/>
              <w:rPr>
                <w:rFonts w:ascii="楷体" w:eastAsia="楷体" w:hAnsi="楷体" w:cs="宋体"/>
                <w:kern w:val="0"/>
                <w:sz w:val="20"/>
                <w:szCs w:val="20"/>
              </w:rPr>
            </w:pPr>
          </w:p>
        </w:tc>
        <w:tc>
          <w:tcPr>
            <w:tcW w:w="183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楷体" w:eastAsia="楷体" w:hAnsi="楷体" w:cs="宋体"/>
                <w:kern w:val="0"/>
                <w:sz w:val="20"/>
                <w:szCs w:val="20"/>
              </w:rPr>
            </w:pPr>
            <w:r>
              <w:rPr>
                <w:rFonts w:ascii="楷体" w:eastAsia="楷体" w:hAnsi="楷体" w:cs="宋体" w:hint="eastAsia"/>
                <w:kern w:val="0"/>
                <w:sz w:val="20"/>
                <w:szCs w:val="20"/>
              </w:rPr>
              <w:t>3.</w:t>
            </w:r>
            <w:r>
              <w:rPr>
                <w:rFonts w:ascii="楷体" w:eastAsia="楷体" w:hAnsi="楷体" w:cs="宋体" w:hint="eastAsia"/>
                <w:kern w:val="0"/>
                <w:sz w:val="20"/>
                <w:szCs w:val="20"/>
              </w:rPr>
              <w:t>其他</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4F005A">
            <w:pPr>
              <w:jc w:val="center"/>
              <w:rPr>
                <w:rFonts w:ascii="Calibri" w:eastAsia="宋体" w:hAnsi="Calibri" w:cs="Calibri"/>
                <w:kern w:val="0"/>
                <w:sz w:val="20"/>
                <w:szCs w:val="20"/>
              </w:rPr>
            </w:pP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4F005A">
            <w:pPr>
              <w:jc w:val="center"/>
              <w:rPr>
                <w:rFonts w:ascii="Calibri" w:eastAsia="宋体" w:hAnsi="Calibri" w:cs="Calibri"/>
                <w:kern w:val="0"/>
                <w:sz w:val="20"/>
                <w:szCs w:val="20"/>
              </w:rPr>
            </w:pP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4F005A">
            <w:pPr>
              <w:jc w:val="center"/>
              <w:rPr>
                <w:rFonts w:ascii="Calibri" w:eastAsia="宋体" w:hAnsi="Calibri" w:cs="Calibri"/>
                <w:kern w:val="0"/>
                <w:sz w:val="20"/>
                <w:szCs w:val="20"/>
              </w:rPr>
            </w:pP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4F005A">
            <w:pPr>
              <w:jc w:val="center"/>
              <w:rPr>
                <w:rFonts w:ascii="Calibri" w:eastAsia="宋体" w:hAnsi="Calibri" w:cs="Calibri"/>
                <w:kern w:val="0"/>
                <w:sz w:val="20"/>
                <w:szCs w:val="20"/>
              </w:rPr>
            </w:pP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4F005A">
            <w:pPr>
              <w:jc w:val="center"/>
              <w:rPr>
                <w:rFonts w:ascii="Calibri" w:eastAsia="宋体" w:hAnsi="Calibri" w:cs="Calibri"/>
                <w:kern w:val="0"/>
                <w:sz w:val="20"/>
                <w:szCs w:val="20"/>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4F005A">
            <w:pPr>
              <w:jc w:val="center"/>
              <w:rPr>
                <w:rFonts w:ascii="Calibri" w:eastAsia="宋体" w:hAnsi="Calibri" w:cs="Calibri"/>
                <w:kern w:val="0"/>
                <w:sz w:val="20"/>
                <w:szCs w:val="20"/>
              </w:rPr>
            </w:pP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4F005A">
            <w:pPr>
              <w:jc w:val="center"/>
              <w:rPr>
                <w:rFonts w:ascii="Calibri" w:eastAsia="宋体" w:hAnsi="Calibri" w:cs="Calibri"/>
                <w:kern w:val="0"/>
                <w:sz w:val="20"/>
                <w:szCs w:val="20"/>
              </w:rPr>
            </w:pPr>
          </w:p>
        </w:tc>
      </w:tr>
      <w:tr w:rsidR="004F005A">
        <w:trPr>
          <w:trHeight w:val="142"/>
          <w:jc w:val="center"/>
        </w:trPr>
        <w:tc>
          <w:tcPr>
            <w:tcW w:w="756"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263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楷体" w:eastAsia="楷体" w:hAnsi="楷体" w:cs="宋体" w:hint="eastAsia"/>
                <w:kern w:val="0"/>
                <w:sz w:val="20"/>
                <w:szCs w:val="20"/>
              </w:rPr>
              <w:t>（七）总计</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3</w:t>
            </w:r>
          </w:p>
        </w:tc>
      </w:tr>
      <w:tr w:rsidR="004F005A">
        <w:trPr>
          <w:trHeight w:val="307"/>
          <w:jc w:val="center"/>
        </w:trPr>
        <w:tc>
          <w:tcPr>
            <w:tcW w:w="33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left"/>
              <w:rPr>
                <w:rFonts w:ascii="宋体" w:eastAsia="宋体" w:hAnsi="宋体" w:cs="宋体"/>
                <w:kern w:val="0"/>
                <w:sz w:val="24"/>
              </w:rPr>
            </w:pPr>
            <w:r>
              <w:rPr>
                <w:rFonts w:ascii="宋体" w:eastAsia="宋体" w:hAnsi="宋体" w:cs="宋体" w:hint="eastAsia"/>
                <w:kern w:val="0"/>
                <w:sz w:val="20"/>
                <w:szCs w:val="20"/>
              </w:rPr>
              <w:t>四、结转下年度继续办理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c>
          <w:tcPr>
            <w:tcW w:w="8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jc w:val="center"/>
              <w:rPr>
                <w:rFonts w:ascii="Calibri" w:eastAsia="宋体" w:hAnsi="Calibri" w:cs="Times New Roman"/>
                <w:szCs w:val="22"/>
              </w:rPr>
            </w:pPr>
            <w:r>
              <w:rPr>
                <w:rFonts w:ascii="Calibri" w:eastAsia="宋体" w:hAnsi="Calibri" w:cs="Calibri" w:hint="eastAsia"/>
                <w:kern w:val="0"/>
                <w:sz w:val="20"/>
                <w:szCs w:val="20"/>
              </w:rPr>
              <w:t>0</w:t>
            </w:r>
          </w:p>
        </w:tc>
      </w:tr>
    </w:tbl>
    <w:p w:rsidR="004F005A" w:rsidRDefault="004F005A">
      <w:pPr>
        <w:ind w:firstLineChars="200" w:firstLine="640"/>
        <w:jc w:val="left"/>
        <w:rPr>
          <w:rFonts w:ascii="黑体" w:eastAsia="黑体" w:hAnsi="黑体" w:cs="Times New Roman"/>
          <w:color w:val="222222"/>
          <w:sz w:val="32"/>
          <w:szCs w:val="32"/>
        </w:rPr>
      </w:pPr>
    </w:p>
    <w:p w:rsidR="004F005A" w:rsidRDefault="000E78B8">
      <w:pPr>
        <w:ind w:firstLineChars="200" w:firstLine="640"/>
        <w:jc w:val="left"/>
        <w:rPr>
          <w:rFonts w:ascii="黑体" w:eastAsia="黑体" w:hAnsi="黑体" w:cs="Times New Roman"/>
          <w:color w:val="222222"/>
          <w:sz w:val="32"/>
          <w:szCs w:val="32"/>
        </w:rPr>
      </w:pPr>
      <w:r>
        <w:rPr>
          <w:rFonts w:ascii="黑体" w:eastAsia="黑体" w:hAnsi="黑体" w:cs="Times New Roman"/>
          <w:color w:val="222222"/>
          <w:sz w:val="32"/>
          <w:szCs w:val="32"/>
        </w:rPr>
        <w:t>四、政府信息公开行政复议、行政诉讼情况</w:t>
      </w:r>
    </w:p>
    <w:tbl>
      <w:tblPr>
        <w:tblW w:w="9024" w:type="dxa"/>
        <w:jc w:val="center"/>
        <w:tblLayout w:type="fixed"/>
        <w:tblCellMar>
          <w:left w:w="0" w:type="dxa"/>
          <w:right w:w="0" w:type="dxa"/>
        </w:tblCellMar>
        <w:tblLook w:val="04A0" w:firstRow="1" w:lastRow="0" w:firstColumn="1" w:lastColumn="0" w:noHBand="0" w:noVBand="1"/>
      </w:tblPr>
      <w:tblGrid>
        <w:gridCol w:w="665"/>
        <w:gridCol w:w="675"/>
        <w:gridCol w:w="735"/>
        <w:gridCol w:w="660"/>
        <w:gridCol w:w="330"/>
        <w:gridCol w:w="675"/>
        <w:gridCol w:w="690"/>
        <w:gridCol w:w="544"/>
        <w:gridCol w:w="596"/>
        <w:gridCol w:w="330"/>
        <w:gridCol w:w="625"/>
        <w:gridCol w:w="635"/>
        <w:gridCol w:w="645"/>
        <w:gridCol w:w="630"/>
        <w:gridCol w:w="589"/>
      </w:tblGrid>
      <w:tr w:rsidR="004F005A">
        <w:trPr>
          <w:trHeight w:val="273"/>
          <w:jc w:val="center"/>
        </w:trPr>
        <w:tc>
          <w:tcPr>
            <w:tcW w:w="306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行政复议</w:t>
            </w:r>
          </w:p>
        </w:tc>
        <w:tc>
          <w:tcPr>
            <w:tcW w:w="5959"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行政诉讼</w:t>
            </w:r>
          </w:p>
        </w:tc>
      </w:tr>
      <w:tr w:rsidR="004F005A">
        <w:trPr>
          <w:trHeight w:val="283"/>
          <w:jc w:val="center"/>
        </w:trPr>
        <w:tc>
          <w:tcPr>
            <w:tcW w:w="6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结果维持</w:t>
            </w:r>
          </w:p>
        </w:tc>
        <w:tc>
          <w:tcPr>
            <w:tcW w:w="6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结果纠正</w:t>
            </w:r>
          </w:p>
        </w:tc>
        <w:tc>
          <w:tcPr>
            <w:tcW w:w="7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其他结果</w:t>
            </w:r>
          </w:p>
        </w:tc>
        <w:tc>
          <w:tcPr>
            <w:tcW w:w="6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尚未审结</w:t>
            </w:r>
          </w:p>
        </w:tc>
        <w:tc>
          <w:tcPr>
            <w:tcW w:w="33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总计</w:t>
            </w:r>
          </w:p>
        </w:tc>
        <w:tc>
          <w:tcPr>
            <w:tcW w:w="283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未经复议直接起诉</w:t>
            </w:r>
          </w:p>
        </w:tc>
        <w:tc>
          <w:tcPr>
            <w:tcW w:w="312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复议后起诉</w:t>
            </w:r>
          </w:p>
        </w:tc>
      </w:tr>
      <w:tr w:rsidR="004F005A">
        <w:trPr>
          <w:trHeight w:val="130"/>
          <w:jc w:val="center"/>
        </w:trPr>
        <w:tc>
          <w:tcPr>
            <w:tcW w:w="665" w:type="dxa"/>
            <w:vMerge/>
            <w:tcBorders>
              <w:top w:val="nil"/>
              <w:left w:val="single" w:sz="8" w:space="0" w:color="auto"/>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675" w:type="dxa"/>
            <w:vMerge/>
            <w:tcBorders>
              <w:top w:val="nil"/>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735" w:type="dxa"/>
            <w:vMerge/>
            <w:tcBorders>
              <w:top w:val="single" w:sz="8" w:space="0" w:color="auto"/>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660" w:type="dxa"/>
            <w:vMerge/>
            <w:tcBorders>
              <w:top w:val="single" w:sz="8" w:space="0" w:color="auto"/>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330" w:type="dxa"/>
            <w:vMerge/>
            <w:tcBorders>
              <w:top w:val="single" w:sz="8" w:space="0" w:color="auto"/>
              <w:left w:val="nil"/>
              <w:bottom w:val="single" w:sz="8" w:space="0" w:color="auto"/>
              <w:right w:val="single" w:sz="8" w:space="0" w:color="auto"/>
            </w:tcBorders>
            <w:vAlign w:val="center"/>
          </w:tcPr>
          <w:p w:rsidR="004F005A" w:rsidRDefault="004F005A">
            <w:pPr>
              <w:widowControl/>
              <w:jc w:val="left"/>
              <w:rPr>
                <w:rFonts w:ascii="宋体" w:eastAsia="宋体" w:hAnsi="宋体" w:cs="宋体"/>
                <w:kern w:val="0"/>
                <w:sz w:val="24"/>
              </w:rPr>
            </w:pP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结果维持</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结果纠正</w:t>
            </w:r>
          </w:p>
        </w:tc>
        <w:tc>
          <w:tcPr>
            <w:tcW w:w="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其他结果</w:t>
            </w: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尚未审结</w:t>
            </w:r>
          </w:p>
        </w:tc>
        <w:tc>
          <w:tcPr>
            <w:tcW w:w="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总计</w:t>
            </w:r>
          </w:p>
        </w:tc>
        <w:tc>
          <w:tcPr>
            <w:tcW w:w="6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结果维持</w:t>
            </w:r>
          </w:p>
        </w:tc>
        <w:tc>
          <w:tcPr>
            <w:tcW w:w="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结果纠正</w:t>
            </w:r>
          </w:p>
        </w:tc>
        <w:tc>
          <w:tcPr>
            <w:tcW w:w="6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其他结果</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kern w:val="0"/>
                <w:sz w:val="20"/>
                <w:szCs w:val="20"/>
              </w:rPr>
              <w:t>尚未审结</w:t>
            </w:r>
          </w:p>
        </w:tc>
        <w:tc>
          <w:tcPr>
            <w:tcW w:w="5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005A" w:rsidRDefault="000E78B8">
            <w:pPr>
              <w:widowControl/>
              <w:jc w:val="center"/>
              <w:rPr>
                <w:rFonts w:ascii="宋体" w:eastAsia="宋体" w:hAnsi="宋体" w:cs="宋体"/>
                <w:kern w:val="0"/>
                <w:sz w:val="24"/>
              </w:rPr>
            </w:pPr>
            <w:r>
              <w:rPr>
                <w:rFonts w:ascii="宋体" w:eastAsia="宋体" w:hAnsi="宋体" w:cs="宋体" w:hint="eastAsia"/>
                <w:color w:val="000000"/>
                <w:kern w:val="0"/>
                <w:sz w:val="20"/>
                <w:szCs w:val="20"/>
              </w:rPr>
              <w:t>总计</w:t>
            </w:r>
          </w:p>
        </w:tc>
      </w:tr>
      <w:tr w:rsidR="004F005A">
        <w:trPr>
          <w:trHeight w:val="283"/>
          <w:jc w:val="center"/>
        </w:trPr>
        <w:tc>
          <w:tcPr>
            <w:tcW w:w="66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05A" w:rsidRDefault="000E78B8">
            <w:pP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4F005A" w:rsidRDefault="000E78B8">
            <w:pPr>
              <w:rPr>
                <w:rFonts w:ascii="Calibri" w:eastAsia="宋体" w:hAnsi="Calibri" w:cs="Times New Roman"/>
                <w:szCs w:val="22"/>
              </w:rPr>
            </w:pPr>
            <w:r>
              <w:rPr>
                <w:rFonts w:ascii="Calibri" w:eastAsia="宋体" w:hAnsi="Calibri" w:cs="Calibri" w:hint="eastAsia"/>
                <w:kern w:val="0"/>
                <w:sz w:val="20"/>
                <w:szCs w:val="20"/>
              </w:rPr>
              <w:t>0</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4F005A" w:rsidRDefault="000E78B8">
            <w:pPr>
              <w:rPr>
                <w:rFonts w:ascii="Calibri" w:eastAsia="宋体" w:hAnsi="Calibri" w:cs="Times New Roman"/>
                <w:szCs w:val="22"/>
              </w:rPr>
            </w:pPr>
            <w:r>
              <w:rPr>
                <w:rFonts w:ascii="Calibri" w:eastAsia="宋体" w:hAnsi="Calibri" w:cs="Calibri" w:hint="eastAsia"/>
                <w:kern w:val="0"/>
                <w:sz w:val="20"/>
                <w:szCs w:val="20"/>
              </w:rPr>
              <w:t>0</w:t>
            </w:r>
          </w:p>
        </w:tc>
        <w:tc>
          <w:tcPr>
            <w:tcW w:w="660" w:type="dxa"/>
            <w:tcBorders>
              <w:top w:val="nil"/>
              <w:left w:val="nil"/>
              <w:bottom w:val="single" w:sz="8" w:space="0" w:color="auto"/>
              <w:right w:val="single" w:sz="8" w:space="0" w:color="auto"/>
            </w:tcBorders>
            <w:tcMar>
              <w:top w:w="0" w:type="dxa"/>
              <w:left w:w="108" w:type="dxa"/>
              <w:bottom w:w="0" w:type="dxa"/>
              <w:right w:w="108" w:type="dxa"/>
            </w:tcMar>
          </w:tcPr>
          <w:p w:rsidR="004F005A" w:rsidRDefault="000E78B8">
            <w:pPr>
              <w:rPr>
                <w:rFonts w:ascii="Calibri" w:eastAsia="宋体" w:hAnsi="Calibri" w:cs="Times New Roman"/>
                <w:szCs w:val="22"/>
              </w:rPr>
            </w:pPr>
            <w:r>
              <w:rPr>
                <w:rFonts w:ascii="Calibri" w:eastAsia="宋体" w:hAnsi="Calibri" w:cs="Calibri" w:hint="eastAsia"/>
                <w:kern w:val="0"/>
                <w:sz w:val="20"/>
                <w:szCs w:val="20"/>
              </w:rPr>
              <w:t>0</w:t>
            </w:r>
          </w:p>
        </w:tc>
        <w:tc>
          <w:tcPr>
            <w:tcW w:w="330" w:type="dxa"/>
            <w:tcBorders>
              <w:top w:val="nil"/>
              <w:left w:val="nil"/>
              <w:bottom w:val="single" w:sz="8" w:space="0" w:color="auto"/>
              <w:right w:val="single" w:sz="8" w:space="0" w:color="auto"/>
            </w:tcBorders>
            <w:tcMar>
              <w:top w:w="0" w:type="dxa"/>
              <w:left w:w="108" w:type="dxa"/>
              <w:bottom w:w="0" w:type="dxa"/>
              <w:right w:w="108" w:type="dxa"/>
            </w:tcMar>
          </w:tcPr>
          <w:p w:rsidR="004F005A" w:rsidRDefault="000E78B8">
            <w:pPr>
              <w:rPr>
                <w:rFonts w:ascii="Calibri" w:eastAsia="宋体" w:hAnsi="Calibri" w:cs="Times New Roman"/>
                <w:szCs w:val="22"/>
              </w:rPr>
            </w:pPr>
            <w:r>
              <w:rPr>
                <w:rFonts w:ascii="Calibri" w:eastAsia="宋体" w:hAnsi="Calibri" w:cs="Calibri" w:hint="eastAsia"/>
                <w:kern w:val="0"/>
                <w:sz w:val="20"/>
                <w:szCs w:val="20"/>
              </w:rPr>
              <w:t>0</w:t>
            </w:r>
          </w:p>
        </w:tc>
        <w:tc>
          <w:tcPr>
            <w:tcW w:w="675" w:type="dxa"/>
            <w:tcBorders>
              <w:top w:val="nil"/>
              <w:left w:val="nil"/>
              <w:bottom w:val="single" w:sz="8" w:space="0" w:color="auto"/>
              <w:right w:val="single" w:sz="8" w:space="0" w:color="auto"/>
            </w:tcBorders>
            <w:tcMar>
              <w:top w:w="0" w:type="dxa"/>
              <w:left w:w="108" w:type="dxa"/>
              <w:bottom w:w="0" w:type="dxa"/>
              <w:right w:w="108" w:type="dxa"/>
            </w:tcMar>
          </w:tcPr>
          <w:p w:rsidR="004F005A" w:rsidRDefault="000E78B8">
            <w:pPr>
              <w:rPr>
                <w:rFonts w:ascii="Calibri" w:eastAsia="宋体" w:hAnsi="Calibri" w:cs="Times New Roman"/>
                <w:szCs w:val="22"/>
              </w:rPr>
            </w:pPr>
            <w:r>
              <w:rPr>
                <w:rFonts w:ascii="Calibri" w:eastAsia="宋体" w:hAnsi="Calibri" w:cs="Calibri" w:hint="eastAsia"/>
                <w:kern w:val="0"/>
                <w:sz w:val="20"/>
                <w:szCs w:val="20"/>
              </w:rPr>
              <w:t>0</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rsidR="004F005A" w:rsidRDefault="000E78B8">
            <w:pPr>
              <w:rPr>
                <w:rFonts w:ascii="Calibri" w:eastAsia="宋体" w:hAnsi="Calibri" w:cs="Times New Roman"/>
                <w:szCs w:val="22"/>
              </w:rPr>
            </w:pPr>
            <w:r>
              <w:rPr>
                <w:rFonts w:ascii="Calibri" w:eastAsia="宋体" w:hAnsi="Calibri" w:cs="Calibri" w:hint="eastAsia"/>
                <w:kern w:val="0"/>
                <w:sz w:val="20"/>
                <w:szCs w:val="20"/>
              </w:rPr>
              <w:t>0</w:t>
            </w:r>
          </w:p>
        </w:tc>
        <w:tc>
          <w:tcPr>
            <w:tcW w:w="544" w:type="dxa"/>
            <w:tcBorders>
              <w:top w:val="nil"/>
              <w:left w:val="nil"/>
              <w:bottom w:val="single" w:sz="8" w:space="0" w:color="auto"/>
              <w:right w:val="single" w:sz="8" w:space="0" w:color="auto"/>
            </w:tcBorders>
            <w:tcMar>
              <w:top w:w="0" w:type="dxa"/>
              <w:left w:w="108" w:type="dxa"/>
              <w:bottom w:w="0" w:type="dxa"/>
              <w:right w:w="108" w:type="dxa"/>
            </w:tcMar>
          </w:tcPr>
          <w:p w:rsidR="004F005A" w:rsidRDefault="000E78B8">
            <w:pPr>
              <w:rPr>
                <w:rFonts w:ascii="Calibri" w:eastAsia="宋体" w:hAnsi="Calibri" w:cs="Times New Roman"/>
                <w:szCs w:val="22"/>
              </w:rPr>
            </w:pPr>
            <w:r>
              <w:rPr>
                <w:rFonts w:ascii="Calibri" w:eastAsia="宋体" w:hAnsi="Calibri" w:cs="Calibri" w:hint="eastAsia"/>
                <w:kern w:val="0"/>
                <w:sz w:val="20"/>
                <w:szCs w:val="20"/>
              </w:rPr>
              <w:t>0</w:t>
            </w:r>
          </w:p>
        </w:tc>
        <w:tc>
          <w:tcPr>
            <w:tcW w:w="596" w:type="dxa"/>
            <w:tcBorders>
              <w:top w:val="nil"/>
              <w:left w:val="nil"/>
              <w:bottom w:val="single" w:sz="8" w:space="0" w:color="auto"/>
              <w:right w:val="single" w:sz="8" w:space="0" w:color="auto"/>
            </w:tcBorders>
            <w:tcMar>
              <w:top w:w="0" w:type="dxa"/>
              <w:left w:w="108" w:type="dxa"/>
              <w:bottom w:w="0" w:type="dxa"/>
              <w:right w:w="108" w:type="dxa"/>
            </w:tcMar>
          </w:tcPr>
          <w:p w:rsidR="004F005A" w:rsidRDefault="000E78B8">
            <w:pPr>
              <w:rPr>
                <w:rFonts w:ascii="Calibri" w:eastAsia="宋体" w:hAnsi="Calibri" w:cs="Times New Roman"/>
                <w:szCs w:val="22"/>
              </w:rPr>
            </w:pPr>
            <w:r>
              <w:rPr>
                <w:rFonts w:ascii="Calibri" w:eastAsia="宋体" w:hAnsi="Calibri" w:cs="Calibri" w:hint="eastAsia"/>
                <w:kern w:val="0"/>
                <w:sz w:val="20"/>
                <w:szCs w:val="20"/>
              </w:rPr>
              <w:t>0</w:t>
            </w:r>
          </w:p>
        </w:tc>
        <w:tc>
          <w:tcPr>
            <w:tcW w:w="330" w:type="dxa"/>
            <w:tcBorders>
              <w:top w:val="nil"/>
              <w:left w:val="nil"/>
              <w:bottom w:val="single" w:sz="8" w:space="0" w:color="auto"/>
              <w:right w:val="single" w:sz="8" w:space="0" w:color="auto"/>
            </w:tcBorders>
            <w:tcMar>
              <w:top w:w="0" w:type="dxa"/>
              <w:left w:w="108" w:type="dxa"/>
              <w:bottom w:w="0" w:type="dxa"/>
              <w:right w:w="108" w:type="dxa"/>
            </w:tcMar>
          </w:tcPr>
          <w:p w:rsidR="004F005A" w:rsidRDefault="000E78B8">
            <w:pPr>
              <w:rPr>
                <w:rFonts w:ascii="Calibri" w:eastAsia="宋体" w:hAnsi="Calibri" w:cs="Times New Roman"/>
                <w:szCs w:val="22"/>
              </w:rPr>
            </w:pPr>
            <w:r>
              <w:rPr>
                <w:rFonts w:ascii="Calibri" w:eastAsia="宋体" w:hAnsi="Calibri" w:cs="Calibri" w:hint="eastAsia"/>
                <w:kern w:val="0"/>
                <w:sz w:val="20"/>
                <w:szCs w:val="20"/>
              </w:rPr>
              <w:t>0</w:t>
            </w:r>
          </w:p>
        </w:tc>
        <w:tc>
          <w:tcPr>
            <w:tcW w:w="625" w:type="dxa"/>
            <w:tcBorders>
              <w:top w:val="nil"/>
              <w:left w:val="nil"/>
              <w:bottom w:val="single" w:sz="8" w:space="0" w:color="auto"/>
              <w:right w:val="single" w:sz="8" w:space="0" w:color="auto"/>
            </w:tcBorders>
            <w:tcMar>
              <w:top w:w="0" w:type="dxa"/>
              <w:left w:w="108" w:type="dxa"/>
              <w:bottom w:w="0" w:type="dxa"/>
              <w:right w:w="108" w:type="dxa"/>
            </w:tcMar>
          </w:tcPr>
          <w:p w:rsidR="004F005A" w:rsidRDefault="000E78B8">
            <w:pPr>
              <w:rPr>
                <w:rFonts w:ascii="Calibri" w:eastAsia="宋体" w:hAnsi="Calibri" w:cs="Times New Roman"/>
                <w:szCs w:val="22"/>
              </w:rPr>
            </w:pPr>
            <w:r>
              <w:rPr>
                <w:rFonts w:ascii="Calibri" w:eastAsia="宋体" w:hAnsi="Calibri" w:cs="Calibri" w:hint="eastAsia"/>
                <w:kern w:val="0"/>
                <w:sz w:val="20"/>
                <w:szCs w:val="20"/>
              </w:rPr>
              <w:t>0</w:t>
            </w:r>
          </w:p>
        </w:tc>
        <w:tc>
          <w:tcPr>
            <w:tcW w:w="635" w:type="dxa"/>
            <w:tcBorders>
              <w:top w:val="nil"/>
              <w:left w:val="nil"/>
              <w:bottom w:val="single" w:sz="8" w:space="0" w:color="auto"/>
              <w:right w:val="single" w:sz="8" w:space="0" w:color="auto"/>
            </w:tcBorders>
            <w:tcMar>
              <w:top w:w="0" w:type="dxa"/>
              <w:left w:w="108" w:type="dxa"/>
              <w:bottom w:w="0" w:type="dxa"/>
              <w:right w:w="108" w:type="dxa"/>
            </w:tcMar>
          </w:tcPr>
          <w:p w:rsidR="004F005A" w:rsidRDefault="000E78B8">
            <w:pPr>
              <w:rPr>
                <w:rFonts w:ascii="Calibri" w:eastAsia="宋体" w:hAnsi="Calibri" w:cs="Times New Roman"/>
                <w:szCs w:val="22"/>
              </w:rPr>
            </w:pPr>
            <w:r>
              <w:rPr>
                <w:rFonts w:ascii="Calibri" w:eastAsia="宋体" w:hAnsi="Calibri" w:cs="Calibri" w:hint="eastAsia"/>
                <w:kern w:val="0"/>
                <w:sz w:val="20"/>
                <w:szCs w:val="20"/>
              </w:rPr>
              <w:t>0</w:t>
            </w:r>
          </w:p>
        </w:tc>
        <w:tc>
          <w:tcPr>
            <w:tcW w:w="645" w:type="dxa"/>
            <w:tcBorders>
              <w:top w:val="nil"/>
              <w:left w:val="nil"/>
              <w:bottom w:val="single" w:sz="8" w:space="0" w:color="auto"/>
              <w:right w:val="single" w:sz="8" w:space="0" w:color="auto"/>
            </w:tcBorders>
            <w:tcMar>
              <w:top w:w="0" w:type="dxa"/>
              <w:left w:w="108" w:type="dxa"/>
              <w:bottom w:w="0" w:type="dxa"/>
              <w:right w:w="108" w:type="dxa"/>
            </w:tcMar>
          </w:tcPr>
          <w:p w:rsidR="004F005A" w:rsidRDefault="000E78B8">
            <w:pPr>
              <w:rPr>
                <w:rFonts w:ascii="Calibri" w:eastAsia="宋体" w:hAnsi="Calibri" w:cs="Times New Roman"/>
                <w:szCs w:val="22"/>
              </w:rPr>
            </w:pPr>
            <w:r>
              <w:rPr>
                <w:rFonts w:ascii="Calibri" w:eastAsia="宋体" w:hAnsi="Calibri" w:cs="Calibri" w:hint="eastAsia"/>
                <w:kern w:val="0"/>
                <w:sz w:val="20"/>
                <w:szCs w:val="20"/>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F005A" w:rsidRDefault="000E78B8">
            <w:pPr>
              <w:rPr>
                <w:rFonts w:ascii="Calibri" w:eastAsia="宋体" w:hAnsi="Calibri" w:cs="Times New Roman"/>
                <w:szCs w:val="22"/>
              </w:rPr>
            </w:pPr>
            <w:r>
              <w:rPr>
                <w:rFonts w:ascii="Calibri" w:eastAsia="宋体" w:hAnsi="Calibri" w:cs="Calibri" w:hint="eastAsia"/>
                <w:kern w:val="0"/>
                <w:sz w:val="20"/>
                <w:szCs w:val="20"/>
              </w:rPr>
              <w:t>0</w:t>
            </w:r>
          </w:p>
        </w:tc>
        <w:tc>
          <w:tcPr>
            <w:tcW w:w="589" w:type="dxa"/>
            <w:tcBorders>
              <w:top w:val="nil"/>
              <w:left w:val="nil"/>
              <w:bottom w:val="single" w:sz="8" w:space="0" w:color="auto"/>
              <w:right w:val="single" w:sz="8" w:space="0" w:color="auto"/>
            </w:tcBorders>
            <w:tcMar>
              <w:top w:w="0" w:type="dxa"/>
              <w:left w:w="108" w:type="dxa"/>
              <w:bottom w:w="0" w:type="dxa"/>
              <w:right w:w="108" w:type="dxa"/>
            </w:tcMar>
          </w:tcPr>
          <w:p w:rsidR="004F005A" w:rsidRDefault="000E78B8">
            <w:pPr>
              <w:rPr>
                <w:rFonts w:ascii="Calibri" w:eastAsia="宋体" w:hAnsi="Calibri" w:cs="Times New Roman"/>
                <w:szCs w:val="22"/>
              </w:rPr>
            </w:pPr>
            <w:r>
              <w:rPr>
                <w:rFonts w:ascii="Calibri" w:eastAsia="宋体" w:hAnsi="Calibri" w:cs="Calibri" w:hint="eastAsia"/>
                <w:kern w:val="0"/>
                <w:sz w:val="20"/>
                <w:szCs w:val="20"/>
              </w:rPr>
              <w:t>0</w:t>
            </w:r>
          </w:p>
        </w:tc>
      </w:tr>
    </w:tbl>
    <w:p w:rsidR="004F005A" w:rsidRDefault="000E78B8">
      <w:pPr>
        <w:ind w:firstLineChars="200" w:firstLine="640"/>
        <w:jc w:val="left"/>
        <w:rPr>
          <w:rFonts w:ascii="黑体" w:eastAsia="黑体" w:hAnsi="黑体" w:cs="Times New Roman"/>
          <w:color w:val="222222"/>
          <w:sz w:val="32"/>
          <w:szCs w:val="32"/>
        </w:rPr>
      </w:pPr>
      <w:r>
        <w:rPr>
          <w:rFonts w:ascii="黑体" w:eastAsia="黑体" w:hAnsi="黑体" w:cs="Times New Roman"/>
          <w:color w:val="222222"/>
          <w:sz w:val="32"/>
          <w:szCs w:val="32"/>
        </w:rPr>
        <w:t>五、政府信息公开工作存在的主要问题及改进情况</w:t>
      </w:r>
    </w:p>
    <w:p w:rsidR="004F005A" w:rsidRDefault="000E78B8">
      <w:pPr>
        <w:ind w:firstLineChars="200" w:firstLine="640"/>
        <w:jc w:val="left"/>
        <w:rPr>
          <w:rFonts w:ascii="仿宋_GB2312" w:eastAsia="仿宋_GB2312" w:hAnsi="Times New Roman" w:cs="Times New Roman"/>
          <w:color w:val="222222"/>
          <w:sz w:val="32"/>
          <w:szCs w:val="32"/>
        </w:rPr>
      </w:pPr>
      <w:r>
        <w:rPr>
          <w:rFonts w:ascii="仿宋_GB2312" w:eastAsia="仿宋_GB2312" w:hAnsi="Times New Roman" w:cs="Times New Roman" w:hint="eastAsia"/>
          <w:color w:val="222222"/>
          <w:sz w:val="32"/>
          <w:szCs w:val="32"/>
        </w:rPr>
        <w:t>我局政务公开工作取得了一些的成效，但也存在一些问题：</w:t>
      </w:r>
    </w:p>
    <w:p w:rsidR="004F005A" w:rsidRDefault="000E78B8">
      <w:pPr>
        <w:numPr>
          <w:ilvl w:val="0"/>
          <w:numId w:val="1"/>
        </w:numPr>
        <w:ind w:firstLineChars="200" w:firstLine="640"/>
        <w:jc w:val="left"/>
        <w:rPr>
          <w:rFonts w:ascii="仿宋_GB2312" w:eastAsia="仿宋_GB2312" w:hAnsi="Times New Roman" w:cs="Times New Roman"/>
          <w:color w:val="222222"/>
          <w:sz w:val="32"/>
          <w:szCs w:val="32"/>
        </w:rPr>
      </w:pPr>
      <w:r>
        <w:rPr>
          <w:rFonts w:ascii="仿宋_GB2312" w:eastAsia="仿宋_GB2312" w:hAnsi="Times New Roman" w:cs="Times New Roman" w:hint="eastAsia"/>
          <w:color w:val="222222"/>
          <w:sz w:val="32"/>
          <w:szCs w:val="32"/>
        </w:rPr>
        <w:t>政策文件解读形式不够丰富。解读政策文件多以文字图片为主，缺少短视频、</w:t>
      </w:r>
      <w:proofErr w:type="gramStart"/>
      <w:r>
        <w:rPr>
          <w:rFonts w:ascii="仿宋_GB2312" w:eastAsia="仿宋_GB2312" w:hAnsi="Times New Roman" w:cs="Times New Roman" w:hint="eastAsia"/>
          <w:color w:val="222222"/>
          <w:sz w:val="32"/>
          <w:szCs w:val="32"/>
        </w:rPr>
        <w:t>动漫等</w:t>
      </w:r>
      <w:proofErr w:type="gramEnd"/>
      <w:r>
        <w:rPr>
          <w:rFonts w:ascii="仿宋_GB2312" w:eastAsia="仿宋_GB2312" w:hAnsi="Times New Roman" w:cs="Times New Roman" w:hint="eastAsia"/>
          <w:color w:val="222222"/>
          <w:sz w:val="32"/>
          <w:szCs w:val="32"/>
        </w:rPr>
        <w:t>更简洁明了的宣传方式。</w:t>
      </w:r>
      <w:bookmarkStart w:id="0" w:name="_GoBack"/>
      <w:bookmarkEnd w:id="0"/>
    </w:p>
    <w:p w:rsidR="004F005A" w:rsidRDefault="000E78B8">
      <w:pPr>
        <w:numPr>
          <w:ilvl w:val="0"/>
          <w:numId w:val="1"/>
        </w:numPr>
        <w:ind w:firstLineChars="200" w:firstLine="640"/>
        <w:jc w:val="left"/>
        <w:rPr>
          <w:rFonts w:ascii="仿宋_GB2312" w:eastAsia="仿宋_GB2312" w:hAnsi="Times New Roman" w:cs="Times New Roman"/>
          <w:color w:val="222222"/>
          <w:sz w:val="32"/>
          <w:szCs w:val="32"/>
        </w:rPr>
      </w:pPr>
      <w:r>
        <w:rPr>
          <w:rFonts w:ascii="仿宋_GB2312" w:eastAsia="仿宋_GB2312" w:hAnsi="Times New Roman" w:cs="Times New Roman" w:hint="eastAsia"/>
          <w:color w:val="222222"/>
          <w:sz w:val="32"/>
          <w:szCs w:val="32"/>
        </w:rPr>
        <w:lastRenderedPageBreak/>
        <w:t>助企</w:t>
      </w:r>
      <w:proofErr w:type="gramStart"/>
      <w:r>
        <w:rPr>
          <w:rFonts w:ascii="仿宋_GB2312" w:eastAsia="仿宋_GB2312" w:hAnsi="Times New Roman" w:cs="Times New Roman" w:hint="eastAsia"/>
          <w:color w:val="222222"/>
          <w:sz w:val="32"/>
          <w:szCs w:val="32"/>
        </w:rPr>
        <w:t>纾困政策</w:t>
      </w:r>
      <w:proofErr w:type="gramEnd"/>
      <w:r>
        <w:rPr>
          <w:rFonts w:ascii="仿宋_GB2312" w:eastAsia="仿宋_GB2312" w:hAnsi="Times New Roman" w:cs="Times New Roman" w:hint="eastAsia"/>
          <w:color w:val="222222"/>
          <w:sz w:val="32"/>
          <w:szCs w:val="32"/>
        </w:rPr>
        <w:t>宣传不够到位。疫情期间出台了一系列助企</w:t>
      </w:r>
      <w:proofErr w:type="gramStart"/>
      <w:r>
        <w:rPr>
          <w:rFonts w:ascii="仿宋_GB2312" w:eastAsia="仿宋_GB2312" w:hAnsi="Times New Roman" w:cs="Times New Roman" w:hint="eastAsia"/>
          <w:color w:val="222222"/>
          <w:sz w:val="32"/>
          <w:szCs w:val="32"/>
        </w:rPr>
        <w:t>纾</w:t>
      </w:r>
      <w:proofErr w:type="gramEnd"/>
      <w:r>
        <w:rPr>
          <w:rFonts w:ascii="仿宋_GB2312" w:eastAsia="仿宋_GB2312" w:hAnsi="Times New Roman" w:cs="Times New Roman" w:hint="eastAsia"/>
          <w:color w:val="222222"/>
          <w:sz w:val="32"/>
          <w:szCs w:val="32"/>
        </w:rPr>
        <w:t>困政策，部分企业反映对有关政策了解的不够透彻。今后，我们将注重政策解读的深度化、简洁化，</w:t>
      </w:r>
      <w:proofErr w:type="gramStart"/>
      <w:r>
        <w:rPr>
          <w:rFonts w:ascii="仿宋_GB2312" w:eastAsia="仿宋_GB2312" w:hAnsi="Times New Roman" w:cs="Times New Roman" w:hint="eastAsia"/>
          <w:color w:val="222222"/>
          <w:sz w:val="32"/>
          <w:szCs w:val="32"/>
        </w:rPr>
        <w:t>结合进企宣讲</w:t>
      </w:r>
      <w:proofErr w:type="gramEnd"/>
      <w:r>
        <w:rPr>
          <w:rFonts w:ascii="仿宋_GB2312" w:eastAsia="仿宋_GB2312" w:hAnsi="Times New Roman" w:cs="Times New Roman" w:hint="eastAsia"/>
          <w:color w:val="222222"/>
          <w:sz w:val="32"/>
          <w:szCs w:val="32"/>
        </w:rPr>
        <w:t>，座谈交流等形式打通政策宣传解读的“最后一公里”。</w:t>
      </w:r>
    </w:p>
    <w:p w:rsidR="004F005A" w:rsidRDefault="000E78B8">
      <w:pPr>
        <w:ind w:firstLineChars="200" w:firstLine="640"/>
        <w:jc w:val="left"/>
        <w:rPr>
          <w:rFonts w:ascii="黑体" w:eastAsia="黑体" w:hAnsi="黑体" w:cs="Times New Roman"/>
          <w:color w:val="222222"/>
          <w:sz w:val="32"/>
          <w:szCs w:val="32"/>
        </w:rPr>
      </w:pPr>
      <w:r>
        <w:rPr>
          <w:rFonts w:ascii="黑体" w:eastAsia="黑体" w:hAnsi="黑体" w:cs="Times New Roman" w:hint="eastAsia"/>
          <w:color w:val="222222"/>
          <w:sz w:val="32"/>
          <w:szCs w:val="32"/>
        </w:rPr>
        <w:t>六</w:t>
      </w:r>
      <w:r>
        <w:rPr>
          <w:rFonts w:ascii="黑体" w:eastAsia="黑体" w:hAnsi="黑体" w:cs="Times New Roman"/>
          <w:color w:val="222222"/>
          <w:sz w:val="32"/>
          <w:szCs w:val="32"/>
        </w:rPr>
        <w:t>、</w:t>
      </w:r>
      <w:r>
        <w:rPr>
          <w:rFonts w:ascii="黑体" w:eastAsia="黑体" w:hAnsi="黑体" w:cs="Times New Roman" w:hint="eastAsia"/>
          <w:color w:val="222222"/>
          <w:sz w:val="32"/>
          <w:szCs w:val="32"/>
        </w:rPr>
        <w:t>其他需要报告的事项</w:t>
      </w:r>
    </w:p>
    <w:p w:rsidR="004F005A" w:rsidRDefault="000E78B8">
      <w:pPr>
        <w:ind w:firstLineChars="200" w:firstLine="640"/>
        <w:jc w:val="left"/>
        <w:rPr>
          <w:rFonts w:ascii="仿宋_GB2312" w:eastAsia="仿宋_GB2312" w:hAnsi="Times New Roman" w:cs="Times New Roman"/>
          <w:color w:val="222222"/>
          <w:sz w:val="32"/>
          <w:szCs w:val="32"/>
        </w:rPr>
      </w:pPr>
      <w:r>
        <w:rPr>
          <w:rFonts w:ascii="仿宋_GB2312" w:eastAsia="仿宋_GB2312" w:hAnsi="Times New Roman" w:cs="Times New Roman" w:hint="eastAsia"/>
          <w:color w:val="222222"/>
          <w:sz w:val="32"/>
          <w:szCs w:val="32"/>
        </w:rPr>
        <w:t>我局严格落实《政府信息公开处理费管理办法》，</w:t>
      </w:r>
      <w:r>
        <w:rPr>
          <w:rFonts w:ascii="仿宋_GB2312" w:eastAsia="仿宋_GB2312" w:hAnsi="Times New Roman" w:cs="Times New Roman" w:hint="eastAsia"/>
          <w:color w:val="222222"/>
          <w:sz w:val="32"/>
          <w:szCs w:val="32"/>
        </w:rPr>
        <w:t>2022</w:t>
      </w:r>
      <w:r>
        <w:rPr>
          <w:rFonts w:ascii="仿宋_GB2312" w:eastAsia="仿宋_GB2312" w:hAnsi="Times New Roman" w:cs="Times New Roman" w:hint="eastAsia"/>
          <w:color w:val="222222"/>
          <w:sz w:val="32"/>
          <w:szCs w:val="32"/>
        </w:rPr>
        <w:t>年未产生和收取信息处理费。</w:t>
      </w:r>
    </w:p>
    <w:p w:rsidR="004F005A" w:rsidRDefault="004F005A">
      <w:pPr>
        <w:spacing w:line="590" w:lineRule="exact"/>
        <w:ind w:firstLineChars="200" w:firstLine="640"/>
        <w:rPr>
          <w:rFonts w:ascii="黑体" w:eastAsia="黑体" w:hAnsi="黑体" w:cs="黑体"/>
          <w:sz w:val="32"/>
          <w:szCs w:val="32"/>
        </w:rPr>
      </w:pPr>
    </w:p>
    <w:sectPr w:rsidR="004F005A">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8B8" w:rsidRDefault="000E78B8" w:rsidP="00CE560A">
      <w:r>
        <w:separator/>
      </w:r>
    </w:p>
  </w:endnote>
  <w:endnote w:type="continuationSeparator" w:id="0">
    <w:p w:rsidR="000E78B8" w:rsidRDefault="000E78B8" w:rsidP="00CE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59CEEAE2-9A56-4A82-AD3E-8502B7DACE38}"/>
    <w:embedBold r:id="rId2" w:subsetted="1" w:fontKey="{CA783D4B-D379-4001-B4C4-19559B3879C5}"/>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40A72540-7D00-4664-8017-859AA07E908C}"/>
  </w:font>
  <w:font w:name="仿宋_GB2312">
    <w:altName w:val="仿宋"/>
    <w:panose1 w:val="02010609030101010101"/>
    <w:charset w:val="86"/>
    <w:family w:val="modern"/>
    <w:pitch w:val="fixed"/>
    <w:sig w:usb0="00000001" w:usb1="080E0000" w:usb2="00000010" w:usb3="00000000" w:csb0="00040000" w:csb1="00000000"/>
    <w:embedRegular r:id="rId4" w:subsetted="1" w:fontKey="{B50B75E3-7C70-4CDF-B192-4EDE8E64D450}"/>
    <w:embedBold r:id="rId5" w:subsetted="1" w:fontKey="{3F3781E7-F98A-4734-AC96-764BA57C6EF2}"/>
  </w:font>
  <w:font w:name="楷体">
    <w:panose1 w:val="02010609060101010101"/>
    <w:charset w:val="86"/>
    <w:family w:val="modern"/>
    <w:pitch w:val="fixed"/>
    <w:sig w:usb0="800002BF" w:usb1="38CF7CFA" w:usb2="00000016" w:usb3="00000000" w:csb0="00040001" w:csb1="00000000"/>
    <w:embedRegular r:id="rId6" w:subsetted="1" w:fontKey="{E7568E6F-59B6-497B-9423-A0A4BD4404E6}"/>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60A" w:rsidRDefault="00CE560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60A" w:rsidRDefault="00CE560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60A" w:rsidRDefault="00CE56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8B8" w:rsidRDefault="000E78B8" w:rsidP="00CE560A">
      <w:r>
        <w:separator/>
      </w:r>
    </w:p>
  </w:footnote>
  <w:footnote w:type="continuationSeparator" w:id="0">
    <w:p w:rsidR="000E78B8" w:rsidRDefault="000E78B8" w:rsidP="00CE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60A" w:rsidRDefault="00CE560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60A" w:rsidRDefault="00CE560A" w:rsidP="00CE560A">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60A" w:rsidRDefault="00CE560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2B7B"/>
    <w:multiLevelType w:val="singleLevel"/>
    <w:tmpl w:val="06EF2B7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Q1ZWEwOTZmZWU2NTQ2NzRiY2YzZTNiODcwNzQ1ODEifQ=="/>
  </w:docVars>
  <w:rsids>
    <w:rsidRoot w:val="21CC6FCF"/>
    <w:rsid w:val="000E78B8"/>
    <w:rsid w:val="001C1DF0"/>
    <w:rsid w:val="004F005A"/>
    <w:rsid w:val="00AD6134"/>
    <w:rsid w:val="00CE560A"/>
    <w:rsid w:val="00E461D6"/>
    <w:rsid w:val="014D0B1B"/>
    <w:rsid w:val="14E8107C"/>
    <w:rsid w:val="164E6A70"/>
    <w:rsid w:val="1FD20711"/>
    <w:rsid w:val="20867753"/>
    <w:rsid w:val="21CC6FCF"/>
    <w:rsid w:val="2D6668FC"/>
    <w:rsid w:val="3D3B4A77"/>
    <w:rsid w:val="476F01EE"/>
    <w:rsid w:val="541C5466"/>
    <w:rsid w:val="59676C7F"/>
    <w:rsid w:val="63A978D8"/>
    <w:rsid w:val="7AA8721A"/>
    <w:rsid w:val="7DDD01BA"/>
    <w:rsid w:val="7F7D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FF8E0"/>
  <w15:docId w15:val="{9C4C8952-426D-476C-8B21-096260CF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header"/>
    <w:basedOn w:val="a"/>
    <w:link w:val="a5"/>
    <w:rsid w:val="00CE56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E560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dc:creator>
  <cp:lastModifiedBy>Administrator</cp:lastModifiedBy>
  <cp:revision>2</cp:revision>
  <dcterms:created xsi:type="dcterms:W3CDTF">2023-01-20T09:24:00Z</dcterms:created>
  <dcterms:modified xsi:type="dcterms:W3CDTF">2023-01-20T09:24:00Z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0A34B85B8DB5467398F36B4B6B520BEA</vt:lpwstr>
  </property>
</Properties>
</file>